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34C8" w:rsidRPr="00D734C8" w:rsidRDefault="00D734C8" w:rsidP="00D734C8">
      <w:pPr>
        <w:pStyle w:val="Tekstpodstawowywcity"/>
        <w:spacing w:after="240" w:line="360" w:lineRule="auto"/>
        <w:jc w:val="right"/>
        <w:rPr>
          <w:b/>
          <w:bCs/>
          <w:u w:val="single"/>
        </w:rPr>
      </w:pPr>
      <w:r w:rsidRPr="00D734C8">
        <w:rPr>
          <w:b/>
          <w:bCs/>
          <w:u w:val="single"/>
        </w:rPr>
        <w:t>Załącznik Nr 2 do zapytania ofertowego</w:t>
      </w:r>
    </w:p>
    <w:p w:rsidR="00D734C8" w:rsidRPr="00D734C8" w:rsidRDefault="00D734C8" w:rsidP="00D734C8">
      <w:pPr>
        <w:pStyle w:val="Tekstpodstawowywcity"/>
        <w:spacing w:after="240" w:line="360" w:lineRule="auto"/>
        <w:jc w:val="center"/>
        <w:rPr>
          <w:u w:val="single"/>
        </w:rPr>
      </w:pPr>
      <w:r w:rsidRPr="00D734C8">
        <w:rPr>
          <w:b/>
          <w:bCs/>
          <w:u w:val="single"/>
        </w:rPr>
        <w:t>Postanowienia, które zostaną wprowadzone do treści zawieranej umowy na Obsługę bankową budżetu Powiatu Żyrardowskiego</w:t>
      </w:r>
    </w:p>
    <w:p w:rsidR="00D734C8" w:rsidRPr="00D734C8" w:rsidRDefault="00D734C8" w:rsidP="00D734C8">
      <w:pPr>
        <w:numPr>
          <w:ilvl w:val="0"/>
          <w:numId w:val="15"/>
        </w:numPr>
        <w:autoSpaceDE w:val="0"/>
        <w:autoSpaceDN w:val="0"/>
        <w:adjustRightInd w:val="0"/>
        <w:ind w:left="284" w:hanging="284"/>
        <w:jc w:val="both"/>
      </w:pPr>
      <w:r w:rsidRPr="00D734C8">
        <w:t>Zamawiający po przeprowadzeniu postępowania w trybie zapytania ofertowego zleca, a Wykonawca przyjmuje do wykonania obsługę bankową budżetu Powiatu Żyrardowskiego.</w:t>
      </w:r>
    </w:p>
    <w:p w:rsidR="00D734C8" w:rsidRPr="00D734C8" w:rsidRDefault="00D734C8" w:rsidP="00D734C8">
      <w:pPr>
        <w:numPr>
          <w:ilvl w:val="0"/>
          <w:numId w:val="15"/>
        </w:numPr>
        <w:autoSpaceDE w:val="0"/>
        <w:autoSpaceDN w:val="0"/>
        <w:adjustRightInd w:val="0"/>
        <w:ind w:left="284" w:hanging="284"/>
        <w:jc w:val="both"/>
      </w:pPr>
      <w:r w:rsidRPr="00D734C8">
        <w:t>Termin wykonania zamówienia ustala się na okres od 01 stycznia 2018 r. do 31 grudnia 2021 roku.</w:t>
      </w:r>
    </w:p>
    <w:p w:rsidR="00D734C8" w:rsidRPr="00D734C8" w:rsidRDefault="00D734C8" w:rsidP="00D734C8">
      <w:pPr>
        <w:numPr>
          <w:ilvl w:val="0"/>
          <w:numId w:val="15"/>
        </w:numPr>
        <w:autoSpaceDE w:val="0"/>
        <w:autoSpaceDN w:val="0"/>
        <w:adjustRightInd w:val="0"/>
        <w:ind w:left="284" w:hanging="284"/>
        <w:jc w:val="both"/>
      </w:pPr>
      <w:r w:rsidRPr="00D734C8">
        <w:t>Wykonawca zobowiązuje się do realizacji zamówienia wynikającego ze Specyfikacji Istotnych Warunków Zamówienia, która stanowi integralną część umowy, w tym:</w:t>
      </w:r>
    </w:p>
    <w:p w:rsidR="00D734C8" w:rsidRPr="00D734C8" w:rsidRDefault="00D734C8" w:rsidP="00D734C8">
      <w:pPr>
        <w:numPr>
          <w:ilvl w:val="1"/>
          <w:numId w:val="16"/>
        </w:numPr>
        <w:tabs>
          <w:tab w:val="num" w:pos="567"/>
        </w:tabs>
        <w:autoSpaceDE w:val="0"/>
        <w:autoSpaceDN w:val="0"/>
        <w:adjustRightInd w:val="0"/>
        <w:ind w:left="567" w:hanging="283"/>
        <w:jc w:val="both"/>
      </w:pPr>
      <w:r w:rsidRPr="00D734C8">
        <w:t>przechowywania środków pieniężnych Zamawiającego na rachunkach otwartych na podstawie umowy,</w:t>
      </w:r>
    </w:p>
    <w:p w:rsidR="00D734C8" w:rsidRPr="00D734C8" w:rsidRDefault="00D734C8" w:rsidP="00D734C8">
      <w:pPr>
        <w:numPr>
          <w:ilvl w:val="1"/>
          <w:numId w:val="16"/>
        </w:numPr>
        <w:tabs>
          <w:tab w:val="num" w:pos="567"/>
        </w:tabs>
        <w:autoSpaceDE w:val="0"/>
        <w:autoSpaceDN w:val="0"/>
        <w:adjustRightInd w:val="0"/>
        <w:ind w:left="567" w:hanging="283"/>
        <w:jc w:val="both"/>
      </w:pPr>
      <w:r w:rsidRPr="00D734C8">
        <w:t>przeprowadzania rozliczeń pieniężnych na zlecenie Zamawiającego,</w:t>
      </w:r>
    </w:p>
    <w:p w:rsidR="00D734C8" w:rsidRPr="00D734C8" w:rsidRDefault="00D734C8" w:rsidP="00D734C8">
      <w:pPr>
        <w:numPr>
          <w:ilvl w:val="1"/>
          <w:numId w:val="16"/>
        </w:numPr>
        <w:tabs>
          <w:tab w:val="num" w:pos="567"/>
        </w:tabs>
        <w:autoSpaceDE w:val="0"/>
        <w:autoSpaceDN w:val="0"/>
        <w:adjustRightInd w:val="0"/>
        <w:ind w:left="567" w:hanging="283"/>
        <w:jc w:val="both"/>
      </w:pPr>
      <w:r w:rsidRPr="00D734C8">
        <w:t>niezwłocznego wyjaśnienia niezgodności stanu środków na rachunku, zgłoszonej przez Zamawiającego,</w:t>
      </w:r>
    </w:p>
    <w:p w:rsidR="00D734C8" w:rsidRPr="00D734C8" w:rsidRDefault="00D734C8" w:rsidP="00D734C8">
      <w:pPr>
        <w:numPr>
          <w:ilvl w:val="1"/>
          <w:numId w:val="16"/>
        </w:numPr>
        <w:tabs>
          <w:tab w:val="num" w:pos="567"/>
        </w:tabs>
        <w:autoSpaceDE w:val="0"/>
        <w:autoSpaceDN w:val="0"/>
        <w:adjustRightInd w:val="0"/>
        <w:ind w:left="567" w:hanging="283"/>
        <w:jc w:val="both"/>
      </w:pPr>
      <w:r w:rsidRPr="00D734C8">
        <w:t>realizacji z rachunku wyłącznie dyspozycji podpisanych przez osoby upoważnione do dysponowania środkami wymienione w "karcie wzorów podpisów".</w:t>
      </w:r>
    </w:p>
    <w:p w:rsidR="00D734C8" w:rsidRPr="00D734C8" w:rsidRDefault="00D734C8" w:rsidP="00D734C8">
      <w:pPr>
        <w:numPr>
          <w:ilvl w:val="1"/>
          <w:numId w:val="17"/>
        </w:numPr>
        <w:autoSpaceDE w:val="0"/>
        <w:autoSpaceDN w:val="0"/>
        <w:adjustRightInd w:val="0"/>
        <w:ind w:left="284" w:hanging="284"/>
        <w:jc w:val="both"/>
      </w:pPr>
      <w:r w:rsidRPr="00D734C8">
        <w:t>Wykonawca odpowiada za niewykonanie dyspozycji składanych przez Zamawiającego zgodnie z ich treścią, do wysokości faktycznie poniesionej przez Zamawiającego z tego tytułu szkody.</w:t>
      </w:r>
    </w:p>
    <w:p w:rsidR="00D734C8" w:rsidRPr="00D734C8" w:rsidRDefault="00D734C8" w:rsidP="00D734C8">
      <w:pPr>
        <w:numPr>
          <w:ilvl w:val="1"/>
          <w:numId w:val="17"/>
        </w:numPr>
        <w:autoSpaceDE w:val="0"/>
        <w:autoSpaceDN w:val="0"/>
        <w:adjustRightInd w:val="0"/>
        <w:ind w:left="284" w:hanging="284"/>
        <w:jc w:val="both"/>
      </w:pPr>
      <w:r w:rsidRPr="00D734C8">
        <w:t>W przypadku stwierdzenia niezgodności dyspozycji Zamawiającego z obowiązującymi przepisami prawa lub umową, Wykonawca odmawia wykonania dyspozycji.</w:t>
      </w:r>
    </w:p>
    <w:p w:rsidR="00D734C8" w:rsidRPr="00D734C8" w:rsidRDefault="00D734C8" w:rsidP="00D734C8">
      <w:pPr>
        <w:numPr>
          <w:ilvl w:val="1"/>
          <w:numId w:val="17"/>
        </w:numPr>
        <w:autoSpaceDE w:val="0"/>
        <w:autoSpaceDN w:val="0"/>
        <w:adjustRightInd w:val="0"/>
        <w:ind w:left="284" w:hanging="284"/>
        <w:jc w:val="both"/>
      </w:pPr>
      <w:r w:rsidRPr="00D734C8">
        <w:t>Za błędy w treści dyspozycji złożonej przez Zamawiającego Wykonawca nie ponosi odpowiedzialności.</w:t>
      </w:r>
    </w:p>
    <w:p w:rsidR="00D734C8" w:rsidRPr="00D734C8" w:rsidRDefault="00D734C8" w:rsidP="00D734C8">
      <w:pPr>
        <w:numPr>
          <w:ilvl w:val="1"/>
          <w:numId w:val="17"/>
        </w:numPr>
        <w:autoSpaceDE w:val="0"/>
        <w:autoSpaceDN w:val="0"/>
        <w:adjustRightInd w:val="0"/>
        <w:ind w:left="284" w:hanging="284"/>
        <w:jc w:val="both"/>
      </w:pPr>
      <w:r w:rsidRPr="00D734C8">
        <w:t>Przelewy złożone w systemie bankowości elektronicznej do godziny 15.30 zostaną zrealizowane w tym samym dniu, złożone po tej godzinie zostaną zrealizowane najpóźniej w następnym dniu roboczym.</w:t>
      </w:r>
    </w:p>
    <w:p w:rsidR="00D734C8" w:rsidRPr="00D734C8" w:rsidRDefault="00D734C8" w:rsidP="00D734C8">
      <w:pPr>
        <w:numPr>
          <w:ilvl w:val="1"/>
          <w:numId w:val="17"/>
        </w:numPr>
        <w:autoSpaceDE w:val="0"/>
        <w:autoSpaceDN w:val="0"/>
        <w:adjustRightInd w:val="0"/>
        <w:ind w:left="284" w:hanging="284"/>
        <w:jc w:val="both"/>
      </w:pPr>
      <w:r w:rsidRPr="00D734C8">
        <w:t>Wykonawca zwraca niezrealizowane zlecenie płatnicze w przypadku braku środków na wskazanym rachunku, wystarczających na pokrycie złożonej dyspozycji lub wystąpienia w zleceniu istotnych uchybień o charakterze formalnym, tj. wystawienie zlecenia płatniczego niezgodnie z obowiązującymi przepisami prawa, zamieszczenie na dyspozycji podpisów i stempli niezgodnych z "kartą wzorów podpisów".</w:t>
      </w:r>
    </w:p>
    <w:p w:rsidR="00D734C8" w:rsidRPr="00D734C8" w:rsidRDefault="00D734C8" w:rsidP="00D734C8">
      <w:pPr>
        <w:numPr>
          <w:ilvl w:val="1"/>
          <w:numId w:val="17"/>
        </w:numPr>
        <w:autoSpaceDE w:val="0"/>
        <w:autoSpaceDN w:val="0"/>
        <w:adjustRightInd w:val="0"/>
        <w:ind w:left="284" w:hanging="284"/>
        <w:jc w:val="both"/>
      </w:pPr>
      <w:r w:rsidRPr="00D734C8">
        <w:rPr>
          <w:iCs/>
        </w:rPr>
        <w:t>Bank</w:t>
      </w:r>
      <w:r w:rsidRPr="00D734C8">
        <w:t xml:space="preserve"> będzie sporządzał wyciągi bankowe po dokonaniu wszystkich operacji na rachunku w danym dniu.</w:t>
      </w:r>
    </w:p>
    <w:p w:rsidR="00D734C8" w:rsidRPr="00D734C8" w:rsidRDefault="00D734C8" w:rsidP="00D734C8">
      <w:pPr>
        <w:numPr>
          <w:ilvl w:val="1"/>
          <w:numId w:val="17"/>
        </w:numPr>
        <w:autoSpaceDE w:val="0"/>
        <w:autoSpaceDN w:val="0"/>
        <w:adjustRightInd w:val="0"/>
        <w:ind w:left="284" w:hanging="284"/>
        <w:jc w:val="both"/>
      </w:pPr>
      <w:r w:rsidRPr="00D734C8">
        <w:t>Zamawiający zobowiązuje się do bieżącego sprawdzania stanu środków na rachunku i niezwłocznego zgłaszania Wykonawcy niezgodności.</w:t>
      </w:r>
    </w:p>
    <w:p w:rsidR="00D734C8" w:rsidRPr="00D734C8" w:rsidRDefault="00D734C8" w:rsidP="00D734C8">
      <w:pPr>
        <w:numPr>
          <w:ilvl w:val="1"/>
          <w:numId w:val="17"/>
        </w:numPr>
        <w:autoSpaceDE w:val="0"/>
        <w:autoSpaceDN w:val="0"/>
        <w:adjustRightInd w:val="0"/>
        <w:ind w:left="284" w:hanging="284"/>
        <w:jc w:val="both"/>
      </w:pPr>
      <w:r w:rsidRPr="00D734C8">
        <w:t>Zamawiający zobowiązuje się do pisemnego zawiadamiania Wykonawcy o zmianie wszelkich danych stanowiących podstawę otwarcia, likwidacji rachunku a w szczególności o zmianach osób upoważnionych do dysponowania rachunkiem, zmianie statusu prawnego, siedziby i adresu.</w:t>
      </w:r>
    </w:p>
    <w:p w:rsidR="00D734C8" w:rsidRPr="00D734C8" w:rsidRDefault="00D734C8" w:rsidP="00D734C8">
      <w:pPr>
        <w:numPr>
          <w:ilvl w:val="1"/>
          <w:numId w:val="17"/>
        </w:numPr>
        <w:autoSpaceDE w:val="0"/>
        <w:autoSpaceDN w:val="0"/>
        <w:adjustRightInd w:val="0"/>
        <w:ind w:left="284" w:hanging="284"/>
        <w:jc w:val="both"/>
      </w:pPr>
      <w:r w:rsidRPr="00D734C8">
        <w:t>W razie błędnie przeprowadzonych przez Wykonawcę operacji uznania lub obciążenia rachunku, Wykonawca bez dyspozycji Zamawiającego dokonuje odpowiednio: uznania rachunku bankowego z tytułu zobowiązania Wykonawcy, obciążenia rachunku bankowego wierzytelnością Wykonawcy, o czym niezwłocznie powiadamia Zamawiającego.</w:t>
      </w:r>
    </w:p>
    <w:p w:rsidR="00D734C8" w:rsidRPr="00D734C8" w:rsidRDefault="00D734C8" w:rsidP="00D734C8">
      <w:pPr>
        <w:numPr>
          <w:ilvl w:val="1"/>
          <w:numId w:val="17"/>
        </w:numPr>
        <w:tabs>
          <w:tab w:val="clear" w:pos="1423"/>
          <w:tab w:val="num" w:pos="284"/>
        </w:tabs>
        <w:autoSpaceDE w:val="0"/>
        <w:autoSpaceDN w:val="0"/>
        <w:adjustRightInd w:val="0"/>
        <w:ind w:left="284" w:hanging="284"/>
        <w:jc w:val="both"/>
      </w:pPr>
      <w:r w:rsidRPr="00D734C8">
        <w:t xml:space="preserve">Za czynności związane z bankową obsługą budżetu Zamawiającego, Wykonawca pobiera opłaty w wysokościach zaproponowanych w ofercie Wykonawcy stanowiącej Zał. 1 do umowy. </w:t>
      </w:r>
    </w:p>
    <w:p w:rsidR="00D734C8" w:rsidRPr="00D734C8" w:rsidRDefault="00D734C8" w:rsidP="00D734C8">
      <w:pPr>
        <w:numPr>
          <w:ilvl w:val="1"/>
          <w:numId w:val="17"/>
        </w:numPr>
        <w:tabs>
          <w:tab w:val="clear" w:pos="1423"/>
          <w:tab w:val="num" w:pos="426"/>
        </w:tabs>
        <w:autoSpaceDE w:val="0"/>
        <w:autoSpaceDN w:val="0"/>
        <w:adjustRightInd w:val="0"/>
        <w:ind w:left="284" w:hanging="284"/>
        <w:jc w:val="both"/>
      </w:pPr>
      <w:r w:rsidRPr="00D734C8">
        <w:lastRenderedPageBreak/>
        <w:t>Zamawiający upoważnia Wykonawcę do pobierania z rachunku bankowego należnych opłat za obsługę bankową w wysokościach odpowiadających ofercie.</w:t>
      </w:r>
    </w:p>
    <w:p w:rsidR="00D734C8" w:rsidRPr="00D734C8" w:rsidRDefault="00D734C8" w:rsidP="00D734C8">
      <w:pPr>
        <w:numPr>
          <w:ilvl w:val="1"/>
          <w:numId w:val="17"/>
        </w:numPr>
        <w:tabs>
          <w:tab w:val="clear" w:pos="1423"/>
          <w:tab w:val="num" w:pos="426"/>
        </w:tabs>
        <w:autoSpaceDE w:val="0"/>
        <w:autoSpaceDN w:val="0"/>
        <w:adjustRightInd w:val="0"/>
        <w:ind w:left="284" w:hanging="284"/>
        <w:jc w:val="both"/>
      </w:pPr>
      <w:r w:rsidRPr="00D734C8">
        <w:t>Opłaty są pobierane w miesięcznych okresach obrachunkowych, zgodnie z rzeczywistą ilością operacji w danym okresie. Płatność następować będzie ostatniego dnia okresu obrachunkowego.</w:t>
      </w:r>
    </w:p>
    <w:p w:rsidR="00D734C8" w:rsidRPr="00D734C8" w:rsidRDefault="00D734C8" w:rsidP="00D734C8">
      <w:pPr>
        <w:numPr>
          <w:ilvl w:val="1"/>
          <w:numId w:val="17"/>
        </w:numPr>
        <w:tabs>
          <w:tab w:val="clear" w:pos="1423"/>
          <w:tab w:val="num" w:pos="426"/>
        </w:tabs>
        <w:autoSpaceDE w:val="0"/>
        <w:autoSpaceDN w:val="0"/>
        <w:adjustRightInd w:val="0"/>
        <w:ind w:left="284" w:hanging="284"/>
        <w:jc w:val="both"/>
      </w:pPr>
      <w:r w:rsidRPr="00D734C8">
        <w:t>Nie dopuszcza się stosowania innych opłat i prowizji bankowych za wykonywanie obsługi bankowej. Podane w ofercie ceny jednostkowe za czynności obsługi bankowej nie będą wzrastać w okresie obowiązywania umowy.</w:t>
      </w:r>
    </w:p>
    <w:p w:rsidR="00D734C8" w:rsidRPr="00D734C8" w:rsidRDefault="00D734C8" w:rsidP="00D734C8">
      <w:pPr>
        <w:numPr>
          <w:ilvl w:val="1"/>
          <w:numId w:val="17"/>
        </w:numPr>
        <w:tabs>
          <w:tab w:val="clear" w:pos="1423"/>
          <w:tab w:val="num" w:pos="426"/>
        </w:tabs>
        <w:autoSpaceDE w:val="0"/>
        <w:autoSpaceDN w:val="0"/>
        <w:adjustRightInd w:val="0"/>
        <w:ind w:left="284" w:hanging="284"/>
        <w:jc w:val="both"/>
      </w:pPr>
      <w:r w:rsidRPr="00D734C8">
        <w:t xml:space="preserve">Środki pieniężne zgromadzone na rachunku Zamawiającego są oprocentowane na dzień otwarcia......% w stosunku rocznym. </w:t>
      </w:r>
    </w:p>
    <w:p w:rsidR="00D734C8" w:rsidRPr="00D734C8" w:rsidRDefault="00D734C8" w:rsidP="00D734C8">
      <w:pPr>
        <w:numPr>
          <w:ilvl w:val="1"/>
          <w:numId w:val="17"/>
        </w:numPr>
        <w:tabs>
          <w:tab w:val="clear" w:pos="1423"/>
          <w:tab w:val="num" w:pos="426"/>
        </w:tabs>
        <w:autoSpaceDE w:val="0"/>
        <w:autoSpaceDN w:val="0"/>
        <w:adjustRightInd w:val="0"/>
        <w:ind w:left="284" w:hanging="284"/>
        <w:jc w:val="both"/>
      </w:pPr>
      <w:r w:rsidRPr="00D734C8">
        <w:t>Wysokość oprocentowania środków na rachunku w okresie obowiązywania niniejszej umowy może ulegać zmianom stosownie do zasad określonych w ofercie Wykonawcy.</w:t>
      </w:r>
    </w:p>
    <w:p w:rsidR="00D734C8" w:rsidRPr="00D734C8" w:rsidRDefault="00D734C8" w:rsidP="00D734C8">
      <w:pPr>
        <w:numPr>
          <w:ilvl w:val="1"/>
          <w:numId w:val="17"/>
        </w:numPr>
        <w:tabs>
          <w:tab w:val="clear" w:pos="1423"/>
          <w:tab w:val="num" w:pos="426"/>
        </w:tabs>
        <w:autoSpaceDE w:val="0"/>
        <w:autoSpaceDN w:val="0"/>
        <w:adjustRightInd w:val="0"/>
        <w:ind w:left="284" w:hanging="284"/>
        <w:jc w:val="both"/>
      </w:pPr>
      <w:r w:rsidRPr="00D734C8">
        <w:t>Odsetki od środków na rachunkach bankowych prowadzonych dla Zamawiającego podlegają miesięcznej kapitalizacji.</w:t>
      </w:r>
    </w:p>
    <w:p w:rsidR="00D734C8" w:rsidRPr="00D734C8" w:rsidRDefault="00D734C8" w:rsidP="00D734C8">
      <w:pPr>
        <w:numPr>
          <w:ilvl w:val="1"/>
          <w:numId w:val="17"/>
        </w:numPr>
        <w:tabs>
          <w:tab w:val="clear" w:pos="1423"/>
          <w:tab w:val="num" w:pos="426"/>
        </w:tabs>
        <w:autoSpaceDE w:val="0"/>
        <w:autoSpaceDN w:val="0"/>
        <w:adjustRightInd w:val="0"/>
        <w:ind w:left="284" w:hanging="284"/>
        <w:jc w:val="both"/>
      </w:pPr>
      <w:r w:rsidRPr="00D734C8">
        <w:t>Dopisywanie odsetek do salda następuje na koniec okresu kapitalizacji lub z chwilą likwidacji rachunku bankowego.</w:t>
      </w:r>
    </w:p>
    <w:p w:rsidR="00D734C8" w:rsidRPr="00D734C8" w:rsidRDefault="00D734C8" w:rsidP="00D734C8">
      <w:pPr>
        <w:numPr>
          <w:ilvl w:val="1"/>
          <w:numId w:val="17"/>
        </w:numPr>
        <w:tabs>
          <w:tab w:val="clear" w:pos="1423"/>
          <w:tab w:val="num" w:pos="426"/>
        </w:tabs>
        <w:autoSpaceDE w:val="0"/>
        <w:autoSpaceDN w:val="0"/>
        <w:adjustRightInd w:val="0"/>
        <w:ind w:left="284" w:hanging="284"/>
        <w:jc w:val="both"/>
      </w:pPr>
      <w:r w:rsidRPr="00D734C8">
        <w:t>Do obliczania stosuje się formułę 365/365 (366), co oznacza, że odsetki są liczone za rzeczywistą liczbę dni, a rok liczy 365 dni lub 366 dni w przypadku lat przestępnych.</w:t>
      </w:r>
    </w:p>
    <w:p w:rsidR="00D734C8" w:rsidRPr="00D734C8" w:rsidRDefault="00D734C8" w:rsidP="00D734C8">
      <w:pPr>
        <w:numPr>
          <w:ilvl w:val="1"/>
          <w:numId w:val="17"/>
        </w:numPr>
        <w:tabs>
          <w:tab w:val="clear" w:pos="1423"/>
          <w:tab w:val="num" w:pos="426"/>
        </w:tabs>
        <w:autoSpaceDE w:val="0"/>
        <w:autoSpaceDN w:val="0"/>
        <w:adjustRightInd w:val="0"/>
        <w:ind w:left="284" w:hanging="284"/>
        <w:jc w:val="both"/>
      </w:pPr>
      <w:r w:rsidRPr="00D734C8">
        <w:t>Na pisemny wniosek Zamawiającego Wykonawca uruchomi kredyt odnawialny w rachunku bieżącym. Zamawiający nie dopuszcza możliwości pobierania opłat i prowizji z tytułu uruchomienia kredytu</w:t>
      </w:r>
      <w:r w:rsidRPr="00D734C8">
        <w:rPr>
          <w:color w:val="6C6767"/>
        </w:rPr>
        <w:t xml:space="preserve"> </w:t>
      </w:r>
      <w:r w:rsidRPr="00D734C8">
        <w:t>oraz od salda niewykorzystanej części kredytu. Odsetki rozliczane będą w miesięcznym okresie obrachunkowym. Oprocentowanie ustalane jest comiesięcznie zgodnie ze stawką WIBOR 1M ogłaszaną dla ostatniego dnia miesiąca poprzedzającego okres odsetkowy, powiększone o marżę banku przedstawioną w ofercie; w przypadku braku notowań stawki WIBOR 1M dla ostatniego dnia miesiąca do wyliczenia stosuje się odpowiednie notowania z dnia poprzedzającego, w którym było prowadzone notowanie.</w:t>
      </w:r>
    </w:p>
    <w:p w:rsidR="00D734C8" w:rsidRPr="00D734C8" w:rsidRDefault="00D734C8" w:rsidP="00D734C8">
      <w:pPr>
        <w:numPr>
          <w:ilvl w:val="1"/>
          <w:numId w:val="17"/>
        </w:numPr>
        <w:tabs>
          <w:tab w:val="clear" w:pos="1423"/>
          <w:tab w:val="num" w:pos="567"/>
        </w:tabs>
        <w:autoSpaceDE w:val="0"/>
        <w:autoSpaceDN w:val="0"/>
        <w:adjustRightInd w:val="0"/>
        <w:ind w:left="284" w:hanging="284"/>
        <w:jc w:val="both"/>
      </w:pPr>
      <w:r w:rsidRPr="00D734C8">
        <w:t>Każda ze Stron może wypowiedzieć umowę z zachowaniem trzymiesięcznego okresu wypowiedzenia ze skutkiem na koniec miesiąca kalendarzowego lub za porozumieniem stron.</w:t>
      </w:r>
    </w:p>
    <w:p w:rsidR="00D734C8" w:rsidRPr="00D734C8" w:rsidRDefault="00D734C8" w:rsidP="00D734C8">
      <w:pPr>
        <w:numPr>
          <w:ilvl w:val="1"/>
          <w:numId w:val="17"/>
        </w:numPr>
        <w:tabs>
          <w:tab w:val="clear" w:pos="1423"/>
          <w:tab w:val="num" w:pos="426"/>
        </w:tabs>
        <w:autoSpaceDE w:val="0"/>
        <w:autoSpaceDN w:val="0"/>
        <w:adjustRightInd w:val="0"/>
        <w:ind w:left="284" w:hanging="284"/>
        <w:jc w:val="both"/>
      </w:pPr>
      <w:r w:rsidRPr="00D734C8">
        <w:t>W sprawach nieuregulowanych umową mają zastosowanie przepisy Kodeksu cywilnego.</w:t>
      </w:r>
    </w:p>
    <w:p w:rsidR="00D734C8" w:rsidRPr="00D734C8" w:rsidRDefault="00D734C8" w:rsidP="00D734C8">
      <w:pPr>
        <w:numPr>
          <w:ilvl w:val="1"/>
          <w:numId w:val="17"/>
        </w:numPr>
        <w:tabs>
          <w:tab w:val="clear" w:pos="1423"/>
          <w:tab w:val="num" w:pos="426"/>
        </w:tabs>
        <w:autoSpaceDE w:val="0"/>
        <w:autoSpaceDN w:val="0"/>
        <w:adjustRightInd w:val="0"/>
        <w:ind w:left="284" w:hanging="284"/>
        <w:jc w:val="both"/>
      </w:pPr>
      <w:r w:rsidRPr="00D734C8">
        <w:t>Zmiany postanowień niniejszej umowy oraz jej wypowiedzenie wymagają formy pisemnej pod rygorem nieważności.</w:t>
      </w:r>
    </w:p>
    <w:p w:rsidR="00D734C8" w:rsidRPr="00D734C8" w:rsidRDefault="00D734C8" w:rsidP="00D734C8">
      <w:pPr>
        <w:numPr>
          <w:ilvl w:val="1"/>
          <w:numId w:val="17"/>
        </w:numPr>
        <w:tabs>
          <w:tab w:val="clear" w:pos="1423"/>
          <w:tab w:val="num" w:pos="426"/>
        </w:tabs>
        <w:autoSpaceDE w:val="0"/>
        <w:autoSpaceDN w:val="0"/>
        <w:adjustRightInd w:val="0"/>
        <w:ind w:left="284" w:hanging="284"/>
        <w:jc w:val="both"/>
      </w:pPr>
      <w:r w:rsidRPr="00D734C8">
        <w:t>Strony nie mają prawa zmieniać postanowień umowy lub wprowadzać nowych postanowień do zawartej umowy, które byłyby niekorzystne dla Zamawiającego, jeżeli przy ich uwzględnieniu należałoby zmienić treść oferty, na podstawie, której dokonano wyboru Wykonawcy, chyba, że konieczność wprowadzenia takich zmian wynika z okoliczności, których nie można było przewidzieć w chwili zawarcia umowy.</w:t>
      </w:r>
    </w:p>
    <w:p w:rsidR="00D734C8" w:rsidRPr="00D734C8" w:rsidRDefault="00D734C8" w:rsidP="00D734C8">
      <w:pPr>
        <w:numPr>
          <w:ilvl w:val="1"/>
          <w:numId w:val="17"/>
        </w:numPr>
        <w:tabs>
          <w:tab w:val="clear" w:pos="1423"/>
          <w:tab w:val="num" w:pos="426"/>
        </w:tabs>
        <w:autoSpaceDE w:val="0"/>
        <w:autoSpaceDN w:val="0"/>
        <w:adjustRightInd w:val="0"/>
        <w:ind w:left="284" w:hanging="284"/>
        <w:jc w:val="both"/>
      </w:pPr>
      <w:r w:rsidRPr="00D734C8">
        <w:t>Integralną częścią umowy jest zapytanie ofertowe oraz oferta Wykonawcy.</w:t>
      </w:r>
    </w:p>
    <w:p w:rsidR="00C00911" w:rsidRPr="00D734C8" w:rsidRDefault="00C00911" w:rsidP="00D734C8">
      <w:pPr>
        <w:rPr>
          <w:b/>
        </w:rPr>
      </w:pPr>
      <w:bookmarkStart w:id="0" w:name="_GoBack"/>
      <w:bookmarkEnd w:id="0"/>
    </w:p>
    <w:sectPr w:rsidR="00C00911" w:rsidRPr="00D734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90362"/>
    <w:multiLevelType w:val="hybridMultilevel"/>
    <w:tmpl w:val="5874DF9E"/>
    <w:lvl w:ilvl="0" w:tplc="04150011">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4FA1BB4"/>
    <w:multiLevelType w:val="hybridMultilevel"/>
    <w:tmpl w:val="C6E86954"/>
    <w:lvl w:ilvl="0" w:tplc="04150011">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7075208"/>
    <w:multiLevelType w:val="hybridMultilevel"/>
    <w:tmpl w:val="7F068D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7FD35CC"/>
    <w:multiLevelType w:val="hybridMultilevel"/>
    <w:tmpl w:val="CE529F14"/>
    <w:lvl w:ilvl="0" w:tplc="3190EF40">
      <w:start w:val="1"/>
      <w:numFmt w:val="lowerLetter"/>
      <w:lvlText w:val="%1."/>
      <w:lvlJc w:val="left"/>
      <w:pPr>
        <w:tabs>
          <w:tab w:val="num" w:pos="757"/>
        </w:tabs>
        <w:ind w:left="737" w:hanging="340"/>
      </w:pPr>
    </w:lvl>
    <w:lvl w:ilvl="1" w:tplc="9FC4A5E4">
      <w:start w:val="1"/>
      <w:numFmt w:val="decimal"/>
      <w:lvlText w:val="%2."/>
      <w:lvlJc w:val="left"/>
      <w:pPr>
        <w:tabs>
          <w:tab w:val="num" w:pos="1423"/>
        </w:tabs>
        <w:ind w:left="1423" w:hanging="343"/>
      </w:pPr>
      <w:rPr>
        <w:b w:val="0"/>
        <w:i w:val="0"/>
      </w:rPr>
    </w:lvl>
    <w:lvl w:ilvl="2" w:tplc="33221882">
      <w:start w:val="1"/>
      <w:numFmt w:val="decimal"/>
      <w:lvlText w:val="%3)"/>
      <w:lvlJc w:val="left"/>
      <w:pPr>
        <w:tabs>
          <w:tab w:val="num" w:pos="2340"/>
        </w:tabs>
        <w:ind w:left="2340" w:hanging="360"/>
      </w:pPr>
      <w:rPr>
        <w:b w:val="0"/>
        <w:color w:val="auto"/>
      </w:rPr>
    </w:lvl>
    <w:lvl w:ilvl="3" w:tplc="49DCF66A">
      <w:start w:val="4"/>
      <w:numFmt w:val="decimal"/>
      <w:lvlText w:val="%4."/>
      <w:lvlJc w:val="left"/>
      <w:pPr>
        <w:tabs>
          <w:tab w:val="num" w:pos="2880"/>
        </w:tabs>
        <w:ind w:left="2860" w:hanging="34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15:restartNumberingAfterBreak="0">
    <w:nsid w:val="0A382C8B"/>
    <w:multiLevelType w:val="hybridMultilevel"/>
    <w:tmpl w:val="0032DADA"/>
    <w:lvl w:ilvl="0" w:tplc="ED8E123E">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64EABE78">
      <w:start w:val="1"/>
      <w:numFmt w:val="decimal"/>
      <w:lvlText w:val="%3."/>
      <w:lvlJc w:val="right"/>
      <w:pPr>
        <w:tabs>
          <w:tab w:val="num" w:pos="2160"/>
        </w:tabs>
        <w:ind w:left="2160" w:hanging="180"/>
      </w:pPr>
      <w:rPr>
        <w:rFonts w:ascii="Times New Roman" w:eastAsiaTheme="minorHAnsi" w:hAnsi="Times New Roman" w:cs="Times New Roman"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196B594D"/>
    <w:multiLevelType w:val="hybridMultilevel"/>
    <w:tmpl w:val="DA1CECD8"/>
    <w:lvl w:ilvl="0" w:tplc="F710C9A6">
      <w:start w:val="1"/>
      <w:numFmt w:val="decimal"/>
      <w:lvlText w:val="%1)"/>
      <w:lvlJc w:val="left"/>
      <w:pPr>
        <w:ind w:left="720" w:hanging="360"/>
      </w:pPr>
      <w:rPr>
        <w:b w:val="0"/>
      </w:rPr>
    </w:lvl>
    <w:lvl w:ilvl="1" w:tplc="E56AAC76">
      <w:start w:val="1"/>
      <w:numFmt w:val="decimal"/>
      <w:lvlText w:val="1%2)"/>
      <w:lvlJc w:val="left"/>
      <w:pPr>
        <w:ind w:left="1440" w:hanging="360"/>
      </w:pPr>
    </w:lvl>
    <w:lvl w:ilvl="2" w:tplc="97A66226">
      <w:start w:val="1"/>
      <w:numFmt w:val="decimal"/>
      <w:lvlText w:val="%3."/>
      <w:lvlJc w:val="left"/>
      <w:pPr>
        <w:ind w:left="360" w:hanging="360"/>
      </w:pPr>
      <w:rPr>
        <w:b w:val="0"/>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19578B8"/>
    <w:multiLevelType w:val="hybridMultilevel"/>
    <w:tmpl w:val="F7A07A7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618127D"/>
    <w:multiLevelType w:val="hybridMultilevel"/>
    <w:tmpl w:val="25220B5C"/>
    <w:lvl w:ilvl="0" w:tplc="443ABDB4">
      <w:start w:val="2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DC43669"/>
    <w:multiLevelType w:val="hybridMultilevel"/>
    <w:tmpl w:val="B2366DBA"/>
    <w:lvl w:ilvl="0" w:tplc="BD060294">
      <w:start w:val="1"/>
      <w:numFmt w:val="upperRoman"/>
      <w:lvlText w:val="%1."/>
      <w:lvlJc w:val="left"/>
      <w:pPr>
        <w:tabs>
          <w:tab w:val="num" w:pos="360"/>
        </w:tabs>
        <w:ind w:left="360" w:hanging="360"/>
      </w:pPr>
      <w:rPr>
        <w:b/>
        <w:color w:val="auto"/>
      </w:rPr>
    </w:lvl>
    <w:lvl w:ilvl="1" w:tplc="F0EE6692">
      <w:start w:val="1"/>
      <w:numFmt w:val="decimal"/>
      <w:lvlText w:val="%2)"/>
      <w:lvlJc w:val="left"/>
      <w:pPr>
        <w:tabs>
          <w:tab w:val="num" w:pos="1440"/>
        </w:tabs>
        <w:ind w:left="1440" w:hanging="360"/>
      </w:pPr>
      <w:rPr>
        <w:b w:val="0"/>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15:restartNumberingAfterBreak="0">
    <w:nsid w:val="4E990521"/>
    <w:multiLevelType w:val="hybridMultilevel"/>
    <w:tmpl w:val="D6C032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1ED25DC"/>
    <w:multiLevelType w:val="hybridMultilevel"/>
    <w:tmpl w:val="52ACF2E8"/>
    <w:lvl w:ilvl="0" w:tplc="2AB0F9DE">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1" w15:restartNumberingAfterBreak="0">
    <w:nsid w:val="54A04DDB"/>
    <w:multiLevelType w:val="hybridMultilevel"/>
    <w:tmpl w:val="933E23D0"/>
    <w:lvl w:ilvl="0" w:tplc="11846798">
      <w:start w:val="5"/>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2" w15:restartNumberingAfterBreak="0">
    <w:nsid w:val="56CD3FEA"/>
    <w:multiLevelType w:val="hybridMultilevel"/>
    <w:tmpl w:val="4B208D58"/>
    <w:lvl w:ilvl="0" w:tplc="20E8EF5C">
      <w:start w:val="1"/>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13" w15:restartNumberingAfterBreak="0">
    <w:nsid w:val="633C2F49"/>
    <w:multiLevelType w:val="hybridMultilevel"/>
    <w:tmpl w:val="FA4A7E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EB72864"/>
    <w:multiLevelType w:val="hybridMultilevel"/>
    <w:tmpl w:val="A23C45E6"/>
    <w:lvl w:ilvl="0" w:tplc="F46A36E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B7F03BD"/>
    <w:multiLevelType w:val="hybridMultilevel"/>
    <w:tmpl w:val="3D8E005C"/>
    <w:lvl w:ilvl="0" w:tplc="068EC4CC">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7"/>
  </w:num>
  <w:num w:numId="11">
    <w:abstractNumId w:val="0"/>
  </w:num>
  <w:num w:numId="12">
    <w:abstractNumId w:val="9"/>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6B0"/>
    <w:rsid w:val="001D7D5D"/>
    <w:rsid w:val="00433904"/>
    <w:rsid w:val="00565903"/>
    <w:rsid w:val="00583076"/>
    <w:rsid w:val="0067599F"/>
    <w:rsid w:val="006F4664"/>
    <w:rsid w:val="007336B0"/>
    <w:rsid w:val="00792D82"/>
    <w:rsid w:val="00795945"/>
    <w:rsid w:val="007A4ED8"/>
    <w:rsid w:val="007F02D6"/>
    <w:rsid w:val="00862EBB"/>
    <w:rsid w:val="008B4749"/>
    <w:rsid w:val="008D3147"/>
    <w:rsid w:val="008D61FE"/>
    <w:rsid w:val="009B0C73"/>
    <w:rsid w:val="00A4064E"/>
    <w:rsid w:val="00AE0095"/>
    <w:rsid w:val="00AE1137"/>
    <w:rsid w:val="00B66C31"/>
    <w:rsid w:val="00B74CCE"/>
    <w:rsid w:val="00BF22D3"/>
    <w:rsid w:val="00C00911"/>
    <w:rsid w:val="00C14846"/>
    <w:rsid w:val="00C62921"/>
    <w:rsid w:val="00D67423"/>
    <w:rsid w:val="00D734C8"/>
    <w:rsid w:val="00DE69B9"/>
    <w:rsid w:val="00E25244"/>
    <w:rsid w:val="00ED02C7"/>
    <w:rsid w:val="00ED48D1"/>
    <w:rsid w:val="00F715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8C07C"/>
  <w15:chartTrackingRefBased/>
  <w15:docId w15:val="{B96A21A9-5C23-457B-A34D-FF835A649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734C8"/>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B74CCE"/>
    <w:rPr>
      <w:rFonts w:ascii="Segoe UI" w:hAnsi="Segoe UI" w:cs="Segoe UI"/>
      <w:sz w:val="18"/>
      <w:szCs w:val="18"/>
    </w:rPr>
  </w:style>
  <w:style w:type="character" w:customStyle="1" w:styleId="TekstdymkaZnak">
    <w:name w:val="Tekst dymka Znak"/>
    <w:basedOn w:val="Domylnaczcionkaakapitu"/>
    <w:link w:val="Tekstdymka"/>
    <w:uiPriority w:val="99"/>
    <w:semiHidden/>
    <w:rsid w:val="00B74CCE"/>
    <w:rPr>
      <w:rFonts w:ascii="Segoe UI" w:hAnsi="Segoe UI" w:cs="Segoe UI"/>
      <w:sz w:val="18"/>
      <w:szCs w:val="18"/>
    </w:rPr>
  </w:style>
  <w:style w:type="paragraph" w:styleId="Akapitzlist">
    <w:name w:val="List Paragraph"/>
    <w:basedOn w:val="Normalny"/>
    <w:uiPriority w:val="34"/>
    <w:qFormat/>
    <w:rsid w:val="00E25244"/>
    <w:pPr>
      <w:ind w:left="720"/>
      <w:contextualSpacing/>
    </w:pPr>
  </w:style>
  <w:style w:type="table" w:styleId="Siatkatabeli">
    <w:name w:val="Table Grid"/>
    <w:basedOn w:val="Standardowy"/>
    <w:uiPriority w:val="39"/>
    <w:rsid w:val="005830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semiHidden/>
    <w:unhideWhenUsed/>
    <w:rsid w:val="00D734C8"/>
    <w:pPr>
      <w:ind w:left="340"/>
      <w:jc w:val="both"/>
    </w:pPr>
  </w:style>
  <w:style w:type="character" w:customStyle="1" w:styleId="TekstpodstawowywcityZnak">
    <w:name w:val="Tekst podstawowy wcięty Znak"/>
    <w:basedOn w:val="Domylnaczcionkaakapitu"/>
    <w:link w:val="Tekstpodstawowywcity"/>
    <w:semiHidden/>
    <w:rsid w:val="00D734C8"/>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395311">
      <w:bodyDiv w:val="1"/>
      <w:marLeft w:val="0"/>
      <w:marRight w:val="0"/>
      <w:marTop w:val="0"/>
      <w:marBottom w:val="0"/>
      <w:divBdr>
        <w:top w:val="none" w:sz="0" w:space="0" w:color="auto"/>
        <w:left w:val="none" w:sz="0" w:space="0" w:color="auto"/>
        <w:bottom w:val="none" w:sz="0" w:space="0" w:color="auto"/>
        <w:right w:val="none" w:sz="0" w:space="0" w:color="auto"/>
      </w:divBdr>
    </w:div>
    <w:div w:id="317806206">
      <w:bodyDiv w:val="1"/>
      <w:marLeft w:val="0"/>
      <w:marRight w:val="0"/>
      <w:marTop w:val="0"/>
      <w:marBottom w:val="0"/>
      <w:divBdr>
        <w:top w:val="none" w:sz="0" w:space="0" w:color="auto"/>
        <w:left w:val="none" w:sz="0" w:space="0" w:color="auto"/>
        <w:bottom w:val="none" w:sz="0" w:space="0" w:color="auto"/>
        <w:right w:val="none" w:sz="0" w:space="0" w:color="auto"/>
      </w:divBdr>
    </w:div>
    <w:div w:id="155106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806</Words>
  <Characters>4836</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Olczak</dc:creator>
  <cp:keywords/>
  <dc:description/>
  <cp:lastModifiedBy>Katarzyna Krawczyk</cp:lastModifiedBy>
  <cp:revision>2</cp:revision>
  <cp:lastPrinted>2017-10-27T10:30:00Z</cp:lastPrinted>
  <dcterms:created xsi:type="dcterms:W3CDTF">2017-11-28T13:27:00Z</dcterms:created>
  <dcterms:modified xsi:type="dcterms:W3CDTF">2017-11-28T13:27:00Z</dcterms:modified>
</cp:coreProperties>
</file>