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47872" w14:textId="18A633B3" w:rsidR="00E54281" w:rsidRDefault="00BE57EA" w:rsidP="00E54281">
      <w:pPr>
        <w:shd w:val="clear" w:color="auto" w:fill="FFFFFF"/>
        <w:jc w:val="center"/>
        <w:rPr>
          <w:rFonts w:eastAsia="Times New Roman"/>
          <w:sz w:val="28"/>
          <w:szCs w:val="28"/>
        </w:rPr>
      </w:pPr>
      <w:r>
        <w:rPr>
          <w:rFonts w:eastAsia="Times New Roman"/>
          <w:b/>
          <w:bCs/>
          <w:sz w:val="28"/>
          <w:szCs w:val="28"/>
        </w:rPr>
        <w:t>UCHWAŁA Nr X</w:t>
      </w:r>
      <w:r w:rsidR="007D06AA">
        <w:rPr>
          <w:rFonts w:eastAsia="Times New Roman"/>
          <w:b/>
          <w:bCs/>
          <w:sz w:val="28"/>
          <w:szCs w:val="28"/>
        </w:rPr>
        <w:t>XII</w:t>
      </w:r>
      <w:r>
        <w:rPr>
          <w:rFonts w:eastAsia="Times New Roman"/>
          <w:b/>
          <w:bCs/>
          <w:sz w:val="28"/>
          <w:szCs w:val="28"/>
        </w:rPr>
        <w:t>/</w:t>
      </w:r>
      <w:r w:rsidR="007D06AA">
        <w:rPr>
          <w:rFonts w:eastAsia="Times New Roman"/>
          <w:b/>
          <w:bCs/>
          <w:sz w:val="28"/>
          <w:szCs w:val="28"/>
        </w:rPr>
        <w:t>…..</w:t>
      </w:r>
      <w:r w:rsidR="00E54281">
        <w:rPr>
          <w:rFonts w:eastAsia="Times New Roman"/>
          <w:b/>
          <w:bCs/>
          <w:sz w:val="28"/>
          <w:szCs w:val="28"/>
        </w:rPr>
        <w:t>/</w:t>
      </w:r>
      <w:r w:rsidR="007D06AA">
        <w:rPr>
          <w:rFonts w:eastAsia="Times New Roman"/>
          <w:b/>
          <w:bCs/>
          <w:sz w:val="28"/>
          <w:szCs w:val="28"/>
        </w:rPr>
        <w:t>20</w:t>
      </w:r>
    </w:p>
    <w:p w14:paraId="258DA646" w14:textId="77777777" w:rsidR="00E54281" w:rsidRDefault="00E54281" w:rsidP="00E54281">
      <w:pPr>
        <w:shd w:val="clear" w:color="auto" w:fill="FFFFFF"/>
        <w:jc w:val="center"/>
        <w:rPr>
          <w:rFonts w:eastAsia="Times New Roman"/>
          <w:sz w:val="28"/>
          <w:szCs w:val="28"/>
        </w:rPr>
      </w:pPr>
      <w:r>
        <w:rPr>
          <w:rFonts w:eastAsia="Times New Roman"/>
          <w:b/>
          <w:bCs/>
          <w:sz w:val="28"/>
          <w:szCs w:val="28"/>
        </w:rPr>
        <w:t>RADY POWIATU ŻYRARDOWSKIEGO</w:t>
      </w:r>
    </w:p>
    <w:p w14:paraId="4630A4D2" w14:textId="3B105853" w:rsidR="00E54281" w:rsidRDefault="00E54281" w:rsidP="00E54281">
      <w:pPr>
        <w:shd w:val="clear" w:color="auto" w:fill="FFFFFF"/>
        <w:jc w:val="center"/>
        <w:rPr>
          <w:rFonts w:eastAsia="Times New Roman"/>
          <w:b/>
          <w:bCs/>
          <w:sz w:val="28"/>
          <w:szCs w:val="28"/>
        </w:rPr>
      </w:pPr>
      <w:r>
        <w:rPr>
          <w:rFonts w:eastAsia="Times New Roman"/>
          <w:b/>
          <w:bCs/>
          <w:sz w:val="28"/>
          <w:szCs w:val="28"/>
        </w:rPr>
        <w:t xml:space="preserve">z dnia </w:t>
      </w:r>
      <w:r w:rsidR="007D06AA">
        <w:rPr>
          <w:rFonts w:eastAsia="Times New Roman"/>
          <w:b/>
          <w:bCs/>
          <w:sz w:val="28"/>
          <w:szCs w:val="28"/>
        </w:rPr>
        <w:t>29 października</w:t>
      </w:r>
      <w:r>
        <w:rPr>
          <w:rFonts w:eastAsia="Times New Roman"/>
          <w:b/>
          <w:bCs/>
          <w:sz w:val="28"/>
          <w:szCs w:val="28"/>
        </w:rPr>
        <w:t xml:space="preserve"> 20</w:t>
      </w:r>
      <w:r w:rsidR="007D06AA">
        <w:rPr>
          <w:rFonts w:eastAsia="Times New Roman"/>
          <w:b/>
          <w:bCs/>
          <w:sz w:val="28"/>
          <w:szCs w:val="28"/>
        </w:rPr>
        <w:t>20</w:t>
      </w:r>
      <w:r>
        <w:rPr>
          <w:rFonts w:eastAsia="Times New Roman"/>
          <w:b/>
          <w:bCs/>
          <w:sz w:val="28"/>
          <w:szCs w:val="28"/>
        </w:rPr>
        <w:t xml:space="preserve"> r.</w:t>
      </w:r>
    </w:p>
    <w:p w14:paraId="532FDA83" w14:textId="77777777" w:rsidR="00E54281" w:rsidRDefault="00E54281" w:rsidP="00E54281">
      <w:pPr>
        <w:shd w:val="clear" w:color="auto" w:fill="FFFFFF"/>
        <w:jc w:val="center"/>
        <w:rPr>
          <w:rFonts w:eastAsia="Times New Roman"/>
          <w:sz w:val="28"/>
          <w:szCs w:val="28"/>
        </w:rPr>
      </w:pPr>
    </w:p>
    <w:p w14:paraId="6DDEC5B4" w14:textId="77777777" w:rsidR="00806E6C" w:rsidRPr="00E54281" w:rsidRDefault="0086236F" w:rsidP="00E54281">
      <w:pPr>
        <w:pStyle w:val="Style1"/>
        <w:widowControl/>
        <w:spacing w:line="240" w:lineRule="auto"/>
        <w:rPr>
          <w:rStyle w:val="FontStyle12"/>
          <w:sz w:val="28"/>
          <w:szCs w:val="28"/>
        </w:rPr>
      </w:pPr>
      <w:r w:rsidRPr="00E54281">
        <w:rPr>
          <w:rStyle w:val="FontStyle12"/>
          <w:sz w:val="28"/>
          <w:szCs w:val="28"/>
        </w:rPr>
        <w:t>w sprawie przekaz</w:t>
      </w:r>
      <w:r w:rsidR="0029139C">
        <w:rPr>
          <w:rStyle w:val="FontStyle12"/>
          <w:sz w:val="28"/>
          <w:szCs w:val="28"/>
        </w:rPr>
        <w:t xml:space="preserve">ania skargi </w:t>
      </w:r>
    </w:p>
    <w:p w14:paraId="16537CBC" w14:textId="77777777" w:rsidR="00806E6C" w:rsidRDefault="00806E6C">
      <w:pPr>
        <w:pStyle w:val="Style3"/>
        <w:widowControl/>
        <w:spacing w:line="240" w:lineRule="exact"/>
        <w:ind w:right="5"/>
        <w:rPr>
          <w:sz w:val="20"/>
          <w:szCs w:val="20"/>
        </w:rPr>
      </w:pPr>
    </w:p>
    <w:p w14:paraId="1BE4F2F8" w14:textId="77777777" w:rsidR="00806E6C" w:rsidRDefault="00806E6C">
      <w:pPr>
        <w:pStyle w:val="Style3"/>
        <w:widowControl/>
        <w:spacing w:line="240" w:lineRule="exact"/>
        <w:ind w:right="5"/>
        <w:rPr>
          <w:sz w:val="20"/>
          <w:szCs w:val="20"/>
        </w:rPr>
      </w:pPr>
    </w:p>
    <w:p w14:paraId="3949D030" w14:textId="183F53C7" w:rsidR="00806E6C" w:rsidRPr="00E54281" w:rsidRDefault="0086236F">
      <w:pPr>
        <w:pStyle w:val="Style3"/>
        <w:widowControl/>
        <w:spacing w:before="197"/>
        <w:ind w:right="5"/>
        <w:rPr>
          <w:rStyle w:val="FontStyle13"/>
          <w:sz w:val="28"/>
          <w:szCs w:val="28"/>
        </w:rPr>
      </w:pPr>
      <w:r w:rsidRPr="00E54281">
        <w:rPr>
          <w:rStyle w:val="FontStyle13"/>
          <w:sz w:val="28"/>
          <w:szCs w:val="28"/>
        </w:rPr>
        <w:t xml:space="preserve">Na podstawie art. </w:t>
      </w:r>
      <w:r w:rsidR="00134981">
        <w:rPr>
          <w:rStyle w:val="FontStyle13"/>
          <w:sz w:val="28"/>
          <w:szCs w:val="28"/>
        </w:rPr>
        <w:t xml:space="preserve">231, </w:t>
      </w:r>
      <w:r w:rsidR="00813785">
        <w:rPr>
          <w:rStyle w:val="FontStyle13"/>
          <w:sz w:val="28"/>
          <w:szCs w:val="28"/>
        </w:rPr>
        <w:t xml:space="preserve">234 pkt 1, </w:t>
      </w:r>
      <w:r w:rsidR="00134981">
        <w:rPr>
          <w:rStyle w:val="FontStyle13"/>
          <w:sz w:val="28"/>
          <w:szCs w:val="28"/>
        </w:rPr>
        <w:t>236 §1</w:t>
      </w:r>
      <w:r w:rsidR="0035487B">
        <w:rPr>
          <w:rStyle w:val="FontStyle13"/>
          <w:sz w:val="28"/>
          <w:szCs w:val="28"/>
        </w:rPr>
        <w:t xml:space="preserve"> </w:t>
      </w:r>
      <w:r w:rsidRPr="00E54281">
        <w:rPr>
          <w:rStyle w:val="FontStyle13"/>
          <w:sz w:val="28"/>
          <w:szCs w:val="28"/>
        </w:rPr>
        <w:t xml:space="preserve">ustawy z dnia 14 czerwca 1960 r. - Kodeks postępowania administracyjnego (Dz. U. z </w:t>
      </w:r>
      <w:r w:rsidR="00813785">
        <w:rPr>
          <w:rStyle w:val="FontStyle13"/>
          <w:sz w:val="28"/>
          <w:szCs w:val="28"/>
        </w:rPr>
        <w:t>2020r. poz. 256, poz. 695, poz. 1298</w:t>
      </w:r>
      <w:r w:rsidRPr="00E54281">
        <w:rPr>
          <w:rStyle w:val="FontStyle13"/>
          <w:sz w:val="28"/>
          <w:szCs w:val="28"/>
        </w:rPr>
        <w:t>) uchwala się, co następuje:</w:t>
      </w:r>
    </w:p>
    <w:p w14:paraId="5FC48ED6" w14:textId="77777777" w:rsidR="00806E6C" w:rsidRDefault="00806E6C">
      <w:pPr>
        <w:pStyle w:val="Style6"/>
        <w:widowControl/>
        <w:spacing w:line="240" w:lineRule="exact"/>
        <w:ind w:left="4315"/>
        <w:rPr>
          <w:sz w:val="20"/>
          <w:szCs w:val="20"/>
        </w:rPr>
      </w:pPr>
    </w:p>
    <w:p w14:paraId="12A899F0" w14:textId="77777777" w:rsidR="00806E6C" w:rsidRPr="00E54281" w:rsidRDefault="00E54281" w:rsidP="00E54281">
      <w:pPr>
        <w:pStyle w:val="Style6"/>
        <w:widowControl/>
        <w:spacing w:before="34"/>
        <w:ind w:left="4315"/>
        <w:jc w:val="both"/>
        <w:rPr>
          <w:rStyle w:val="FontStyle12"/>
          <w:spacing w:val="30"/>
          <w:sz w:val="28"/>
          <w:szCs w:val="28"/>
        </w:rPr>
      </w:pPr>
      <w:r w:rsidRPr="00E54281">
        <w:rPr>
          <w:rStyle w:val="FontStyle12"/>
          <w:spacing w:val="30"/>
          <w:sz w:val="28"/>
          <w:szCs w:val="28"/>
        </w:rPr>
        <w:t>§1</w:t>
      </w:r>
    </w:p>
    <w:p w14:paraId="692638C5" w14:textId="18D823B1" w:rsidR="00806E6C" w:rsidRPr="00437AFD" w:rsidRDefault="0029139C" w:rsidP="00437AFD">
      <w:pPr>
        <w:widowControl/>
        <w:shd w:val="clear" w:color="auto" w:fill="FFFFFF"/>
        <w:autoSpaceDE/>
        <w:autoSpaceDN/>
        <w:adjustRightInd/>
        <w:jc w:val="both"/>
        <w:rPr>
          <w:rStyle w:val="FontStyle13"/>
          <w:rFonts w:eastAsia="Times New Roman"/>
          <w:sz w:val="28"/>
          <w:szCs w:val="28"/>
        </w:rPr>
      </w:pPr>
      <w:r>
        <w:rPr>
          <w:rStyle w:val="FontStyle13"/>
          <w:sz w:val="28"/>
          <w:szCs w:val="28"/>
        </w:rPr>
        <w:t>P</w:t>
      </w:r>
      <w:r w:rsidR="0086236F" w:rsidRPr="00E54281">
        <w:rPr>
          <w:rStyle w:val="FontStyle13"/>
          <w:sz w:val="28"/>
          <w:szCs w:val="28"/>
        </w:rPr>
        <w:t xml:space="preserve">ostanawia </w:t>
      </w:r>
      <w:r>
        <w:rPr>
          <w:rStyle w:val="FontStyle13"/>
          <w:sz w:val="28"/>
          <w:szCs w:val="28"/>
        </w:rPr>
        <w:t xml:space="preserve">się </w:t>
      </w:r>
      <w:r w:rsidR="0086236F" w:rsidRPr="00E54281">
        <w:rPr>
          <w:rStyle w:val="FontStyle13"/>
          <w:sz w:val="28"/>
          <w:szCs w:val="28"/>
        </w:rPr>
        <w:t>przekazać skargę</w:t>
      </w:r>
      <w:r w:rsidR="00F07F38">
        <w:rPr>
          <w:rStyle w:val="FontStyle13"/>
          <w:sz w:val="28"/>
          <w:szCs w:val="28"/>
        </w:rPr>
        <w:t xml:space="preserve"> </w:t>
      </w:r>
      <w:r>
        <w:rPr>
          <w:rStyle w:val="FontStyle13"/>
          <w:sz w:val="28"/>
          <w:szCs w:val="28"/>
        </w:rPr>
        <w:t xml:space="preserve">złożoną w dniu </w:t>
      </w:r>
      <w:r w:rsidR="00134981">
        <w:rPr>
          <w:rStyle w:val="FontStyle13"/>
          <w:sz w:val="28"/>
          <w:szCs w:val="28"/>
        </w:rPr>
        <w:t>3</w:t>
      </w:r>
      <w:r>
        <w:rPr>
          <w:rStyle w:val="FontStyle13"/>
          <w:sz w:val="28"/>
          <w:szCs w:val="28"/>
        </w:rPr>
        <w:t xml:space="preserve"> </w:t>
      </w:r>
      <w:r w:rsidR="00134981">
        <w:rPr>
          <w:rStyle w:val="FontStyle13"/>
          <w:sz w:val="28"/>
          <w:szCs w:val="28"/>
        </w:rPr>
        <w:t>października</w:t>
      </w:r>
      <w:r>
        <w:rPr>
          <w:rStyle w:val="FontStyle13"/>
          <w:sz w:val="28"/>
          <w:szCs w:val="28"/>
        </w:rPr>
        <w:t xml:space="preserve"> 20</w:t>
      </w:r>
      <w:r w:rsidR="00134981">
        <w:rPr>
          <w:rStyle w:val="FontStyle13"/>
          <w:sz w:val="28"/>
          <w:szCs w:val="28"/>
        </w:rPr>
        <w:t>20</w:t>
      </w:r>
      <w:r>
        <w:rPr>
          <w:rStyle w:val="FontStyle13"/>
          <w:sz w:val="28"/>
          <w:szCs w:val="28"/>
        </w:rPr>
        <w:t xml:space="preserve"> </w:t>
      </w:r>
      <w:r w:rsidR="00255FE8">
        <w:rPr>
          <w:rStyle w:val="FontStyle13"/>
          <w:sz w:val="28"/>
          <w:szCs w:val="28"/>
        </w:rPr>
        <w:t xml:space="preserve">roku przez Panią </w:t>
      </w:r>
      <w:r w:rsidR="00134981">
        <w:rPr>
          <w:rStyle w:val="FontStyle13"/>
          <w:sz w:val="28"/>
          <w:szCs w:val="28"/>
        </w:rPr>
        <w:t>Barbarę Górną Staroście Powiatu Żyrardowskiego</w:t>
      </w:r>
      <w:r w:rsidR="0035487B">
        <w:rPr>
          <w:rFonts w:eastAsia="Times New Roman"/>
          <w:sz w:val="28"/>
          <w:szCs w:val="28"/>
        </w:rPr>
        <w:t>, jako organo</w:t>
      </w:r>
      <w:r w:rsidR="00880F14">
        <w:rPr>
          <w:rFonts w:eastAsia="Times New Roman"/>
          <w:sz w:val="28"/>
          <w:szCs w:val="28"/>
        </w:rPr>
        <w:t>wi</w:t>
      </w:r>
      <w:r w:rsidR="00F07F38">
        <w:rPr>
          <w:rFonts w:eastAsia="Times New Roman"/>
          <w:sz w:val="28"/>
          <w:szCs w:val="28"/>
        </w:rPr>
        <w:t xml:space="preserve"> właściw</w:t>
      </w:r>
      <w:r w:rsidR="00880F14">
        <w:rPr>
          <w:rFonts w:eastAsia="Times New Roman"/>
          <w:sz w:val="28"/>
          <w:szCs w:val="28"/>
        </w:rPr>
        <w:t>emu</w:t>
      </w:r>
      <w:r w:rsidR="00F07F38">
        <w:rPr>
          <w:rFonts w:eastAsia="Times New Roman"/>
          <w:sz w:val="28"/>
          <w:szCs w:val="28"/>
        </w:rPr>
        <w:t xml:space="preserve"> do rozpatrzenia niniejszej skargi.</w:t>
      </w:r>
    </w:p>
    <w:p w14:paraId="7A5CBA53" w14:textId="77777777" w:rsidR="00806E6C" w:rsidRPr="00E54281" w:rsidRDefault="00806E6C" w:rsidP="00437AFD">
      <w:pPr>
        <w:pStyle w:val="Style6"/>
        <w:widowControl/>
        <w:jc w:val="both"/>
        <w:rPr>
          <w:sz w:val="28"/>
          <w:szCs w:val="28"/>
        </w:rPr>
      </w:pPr>
    </w:p>
    <w:p w14:paraId="5264FD69" w14:textId="77777777" w:rsidR="00437AFD" w:rsidRDefault="00437AFD" w:rsidP="00437AFD">
      <w:pPr>
        <w:jc w:val="center"/>
        <w:rPr>
          <w:b/>
          <w:bCs/>
          <w:sz w:val="28"/>
          <w:szCs w:val="28"/>
        </w:rPr>
      </w:pPr>
      <w:r>
        <w:rPr>
          <w:b/>
          <w:bCs/>
          <w:sz w:val="28"/>
          <w:szCs w:val="28"/>
        </w:rPr>
        <w:t>§ 2</w:t>
      </w:r>
    </w:p>
    <w:p w14:paraId="075A7758" w14:textId="77777777" w:rsidR="00437AFD" w:rsidRDefault="00437AFD" w:rsidP="00437AFD">
      <w:pPr>
        <w:jc w:val="both"/>
        <w:rPr>
          <w:sz w:val="28"/>
          <w:szCs w:val="28"/>
        </w:rPr>
      </w:pPr>
      <w:r>
        <w:rPr>
          <w:sz w:val="28"/>
          <w:szCs w:val="28"/>
        </w:rPr>
        <w:t xml:space="preserve">Zobowiązuje się Przewodniczącego Rady do przekazania skargi </w:t>
      </w:r>
      <w:r>
        <w:rPr>
          <w:sz w:val="28"/>
          <w:szCs w:val="28"/>
        </w:rPr>
        <w:br/>
        <w:t>i zawiadomienia skarżącego o przekazaniu skargi.</w:t>
      </w:r>
    </w:p>
    <w:p w14:paraId="34A12869" w14:textId="77777777" w:rsidR="00437AFD" w:rsidRDefault="00437AFD" w:rsidP="00437AFD">
      <w:pPr>
        <w:jc w:val="both"/>
        <w:rPr>
          <w:sz w:val="28"/>
          <w:szCs w:val="28"/>
        </w:rPr>
      </w:pPr>
    </w:p>
    <w:p w14:paraId="25981BE3" w14:textId="77777777" w:rsidR="00437AFD" w:rsidRDefault="00437AFD" w:rsidP="00437AFD">
      <w:pPr>
        <w:jc w:val="center"/>
        <w:rPr>
          <w:b/>
          <w:bCs/>
          <w:sz w:val="28"/>
          <w:szCs w:val="28"/>
        </w:rPr>
      </w:pPr>
      <w:r>
        <w:rPr>
          <w:b/>
          <w:bCs/>
          <w:sz w:val="28"/>
          <w:szCs w:val="28"/>
        </w:rPr>
        <w:t>§ 3</w:t>
      </w:r>
    </w:p>
    <w:p w14:paraId="5772A1D7" w14:textId="77777777" w:rsidR="00437AFD" w:rsidRDefault="00437AFD" w:rsidP="00437AFD">
      <w:pPr>
        <w:jc w:val="both"/>
        <w:rPr>
          <w:sz w:val="28"/>
          <w:szCs w:val="28"/>
        </w:rPr>
      </w:pPr>
      <w:r>
        <w:rPr>
          <w:sz w:val="28"/>
          <w:szCs w:val="28"/>
        </w:rPr>
        <w:t>Uchwała wchodzi w życie z dniem podjęcia.</w:t>
      </w:r>
    </w:p>
    <w:p w14:paraId="63B78ECB" w14:textId="77777777" w:rsidR="00806E6C" w:rsidRDefault="00806E6C" w:rsidP="00437AFD">
      <w:pPr>
        <w:pStyle w:val="Style4"/>
        <w:widowControl/>
        <w:spacing w:line="240" w:lineRule="auto"/>
        <w:rPr>
          <w:sz w:val="20"/>
          <w:szCs w:val="20"/>
        </w:rPr>
      </w:pPr>
    </w:p>
    <w:p w14:paraId="13EDEBD9" w14:textId="77777777" w:rsidR="00806E6C" w:rsidRDefault="00806E6C">
      <w:pPr>
        <w:pStyle w:val="Style4"/>
        <w:widowControl/>
        <w:spacing w:line="240" w:lineRule="exact"/>
        <w:ind w:left="5189"/>
        <w:rPr>
          <w:sz w:val="20"/>
          <w:szCs w:val="20"/>
        </w:rPr>
      </w:pPr>
    </w:p>
    <w:p w14:paraId="297D9F1A" w14:textId="77777777" w:rsidR="00EF01B9" w:rsidRDefault="00EF01B9">
      <w:pPr>
        <w:pStyle w:val="Style4"/>
        <w:widowControl/>
        <w:spacing w:line="240" w:lineRule="exact"/>
        <w:ind w:left="5189"/>
        <w:rPr>
          <w:sz w:val="20"/>
          <w:szCs w:val="20"/>
        </w:rPr>
      </w:pPr>
    </w:p>
    <w:p w14:paraId="534D75EC" w14:textId="77777777" w:rsidR="001912AD" w:rsidRDefault="001912AD" w:rsidP="001912AD">
      <w:pPr>
        <w:ind w:left="3600" w:firstLine="720"/>
        <w:jc w:val="both"/>
        <w:rPr>
          <w:b/>
          <w:sz w:val="28"/>
          <w:szCs w:val="28"/>
        </w:rPr>
      </w:pPr>
      <w:r>
        <w:rPr>
          <w:b/>
          <w:sz w:val="28"/>
          <w:szCs w:val="28"/>
        </w:rPr>
        <w:t>Przewodniczący</w:t>
      </w:r>
    </w:p>
    <w:p w14:paraId="5DB1B187" w14:textId="77777777" w:rsidR="001912AD" w:rsidRDefault="001912AD" w:rsidP="001912AD">
      <w:pPr>
        <w:jc w:val="both"/>
        <w:rPr>
          <w:b/>
          <w:sz w:val="28"/>
          <w:szCs w:val="28"/>
        </w:rPr>
      </w:pPr>
      <w:r>
        <w:rPr>
          <w:b/>
          <w:sz w:val="28"/>
          <w:szCs w:val="28"/>
        </w:rPr>
        <w:t xml:space="preserve">                        </w:t>
      </w:r>
      <w:r w:rsidR="00F01E83">
        <w:rPr>
          <w:b/>
          <w:sz w:val="28"/>
          <w:szCs w:val="28"/>
        </w:rPr>
        <w:t xml:space="preserve">    </w:t>
      </w:r>
      <w:r>
        <w:rPr>
          <w:b/>
          <w:sz w:val="28"/>
          <w:szCs w:val="28"/>
        </w:rPr>
        <w:t>Rady Powiatu Żyrardowskiego</w:t>
      </w:r>
    </w:p>
    <w:p w14:paraId="04F47D3C" w14:textId="77777777" w:rsidR="001912AD" w:rsidRDefault="001912AD" w:rsidP="001912AD">
      <w:pPr>
        <w:ind w:left="5103" w:firstLine="142"/>
        <w:jc w:val="both"/>
        <w:rPr>
          <w:b/>
          <w:sz w:val="28"/>
          <w:szCs w:val="28"/>
        </w:rPr>
      </w:pPr>
    </w:p>
    <w:p w14:paraId="32751D92" w14:textId="21924A03" w:rsidR="001912AD" w:rsidRDefault="001912AD" w:rsidP="001912AD">
      <w:pPr>
        <w:ind w:left="2160" w:firstLine="720"/>
        <w:jc w:val="both"/>
        <w:rPr>
          <w:b/>
          <w:i/>
          <w:sz w:val="28"/>
          <w:szCs w:val="28"/>
        </w:rPr>
      </w:pPr>
      <w:r>
        <w:rPr>
          <w:b/>
          <w:i/>
          <w:sz w:val="28"/>
          <w:szCs w:val="28"/>
        </w:rPr>
        <w:t xml:space="preserve">          </w:t>
      </w:r>
      <w:r w:rsidR="00F01E83">
        <w:rPr>
          <w:b/>
          <w:i/>
          <w:sz w:val="28"/>
          <w:szCs w:val="28"/>
        </w:rPr>
        <w:t xml:space="preserve">  </w:t>
      </w:r>
      <w:r w:rsidR="007D06AA">
        <w:rPr>
          <w:b/>
          <w:i/>
          <w:sz w:val="28"/>
          <w:szCs w:val="28"/>
        </w:rPr>
        <w:t>Klaudiusz Stusiński</w:t>
      </w:r>
    </w:p>
    <w:p w14:paraId="51FC3B69" w14:textId="77777777" w:rsidR="0086236F" w:rsidRDefault="0086236F" w:rsidP="00EF01B9">
      <w:pPr>
        <w:pStyle w:val="Style4"/>
        <w:widowControl/>
        <w:spacing w:before="58"/>
        <w:ind w:left="5189"/>
        <w:rPr>
          <w:rStyle w:val="FontStyle14"/>
        </w:rPr>
      </w:pPr>
    </w:p>
    <w:p w14:paraId="54800F06" w14:textId="77777777" w:rsidR="00437AFD" w:rsidRDefault="00437AFD" w:rsidP="00EF01B9">
      <w:pPr>
        <w:pStyle w:val="Style4"/>
        <w:widowControl/>
        <w:spacing w:before="58"/>
        <w:ind w:left="5189"/>
        <w:rPr>
          <w:rStyle w:val="FontStyle14"/>
        </w:rPr>
      </w:pPr>
    </w:p>
    <w:p w14:paraId="4FCD37E3" w14:textId="77777777" w:rsidR="00437AFD" w:rsidRDefault="00437AFD" w:rsidP="00EF01B9">
      <w:pPr>
        <w:pStyle w:val="Style4"/>
        <w:widowControl/>
        <w:spacing w:before="58"/>
        <w:ind w:left="5189"/>
        <w:rPr>
          <w:rStyle w:val="FontStyle14"/>
        </w:rPr>
      </w:pPr>
    </w:p>
    <w:p w14:paraId="0EE5F016" w14:textId="77777777" w:rsidR="00437AFD" w:rsidRDefault="00437AFD" w:rsidP="00EF01B9">
      <w:pPr>
        <w:pStyle w:val="Style4"/>
        <w:widowControl/>
        <w:spacing w:before="58"/>
        <w:ind w:left="5189"/>
        <w:rPr>
          <w:rStyle w:val="FontStyle14"/>
        </w:rPr>
      </w:pPr>
    </w:p>
    <w:p w14:paraId="26382FB2" w14:textId="77777777" w:rsidR="00437AFD" w:rsidRDefault="00437AFD" w:rsidP="00EF01B9">
      <w:pPr>
        <w:pStyle w:val="Style4"/>
        <w:widowControl/>
        <w:spacing w:before="58"/>
        <w:ind w:left="5189"/>
        <w:rPr>
          <w:rStyle w:val="FontStyle14"/>
        </w:rPr>
      </w:pPr>
    </w:p>
    <w:p w14:paraId="548A7FE0" w14:textId="77777777" w:rsidR="0029139C" w:rsidRDefault="0029139C" w:rsidP="00EF01B9">
      <w:pPr>
        <w:pStyle w:val="Style4"/>
        <w:widowControl/>
        <w:spacing w:before="58"/>
        <w:ind w:left="5189"/>
        <w:rPr>
          <w:rStyle w:val="FontStyle14"/>
        </w:rPr>
      </w:pPr>
    </w:p>
    <w:p w14:paraId="6058A7C3" w14:textId="77777777" w:rsidR="0056432B" w:rsidRDefault="0056432B" w:rsidP="00EF01B9">
      <w:pPr>
        <w:pStyle w:val="Style4"/>
        <w:widowControl/>
        <w:spacing w:before="58"/>
        <w:ind w:left="5189"/>
        <w:rPr>
          <w:rStyle w:val="FontStyle14"/>
        </w:rPr>
      </w:pPr>
    </w:p>
    <w:p w14:paraId="4428D98D" w14:textId="6008A48C" w:rsidR="00437AFD" w:rsidRDefault="00437AFD" w:rsidP="00EF01B9">
      <w:pPr>
        <w:pStyle w:val="Style4"/>
        <w:widowControl/>
        <w:spacing w:before="58"/>
        <w:ind w:left="5189"/>
        <w:rPr>
          <w:rStyle w:val="FontStyle14"/>
        </w:rPr>
      </w:pPr>
    </w:p>
    <w:p w14:paraId="2DB64B29" w14:textId="77777777" w:rsidR="00D12C01" w:rsidRDefault="00D12C01" w:rsidP="003A35BB">
      <w:pPr>
        <w:widowControl/>
        <w:suppressAutoHyphens/>
        <w:autoSpaceDE/>
        <w:adjustRightInd/>
        <w:spacing w:after="160" w:line="360" w:lineRule="auto"/>
        <w:ind w:firstLine="709"/>
        <w:jc w:val="both"/>
        <w:rPr>
          <w:rFonts w:eastAsia="Calibri"/>
          <w:sz w:val="28"/>
          <w:szCs w:val="22"/>
          <w:lang w:eastAsia="en-US"/>
        </w:rPr>
      </w:pPr>
    </w:p>
    <w:p w14:paraId="5993B42C" w14:textId="43789167" w:rsidR="00D12C01" w:rsidRPr="00D12C01" w:rsidRDefault="00D12C01" w:rsidP="00D12C01">
      <w:pPr>
        <w:widowControl/>
        <w:suppressAutoHyphens/>
        <w:autoSpaceDE/>
        <w:adjustRightInd/>
        <w:spacing w:after="160" w:line="360" w:lineRule="auto"/>
        <w:ind w:firstLine="709"/>
        <w:jc w:val="center"/>
        <w:rPr>
          <w:rFonts w:eastAsia="Calibri"/>
          <w:b/>
          <w:bCs/>
          <w:sz w:val="28"/>
          <w:szCs w:val="22"/>
          <w:lang w:eastAsia="en-US"/>
        </w:rPr>
      </w:pPr>
      <w:r w:rsidRPr="00D12C01">
        <w:rPr>
          <w:rFonts w:eastAsia="Calibri"/>
          <w:b/>
          <w:bCs/>
          <w:sz w:val="28"/>
          <w:szCs w:val="22"/>
          <w:lang w:eastAsia="en-US"/>
        </w:rPr>
        <w:lastRenderedPageBreak/>
        <w:t>UZASADNIENIE</w:t>
      </w:r>
    </w:p>
    <w:p w14:paraId="31F55EF4" w14:textId="25842532" w:rsidR="00D12C01" w:rsidRDefault="00D12C01" w:rsidP="003A35BB">
      <w:pPr>
        <w:widowControl/>
        <w:suppressAutoHyphens/>
        <w:autoSpaceDE/>
        <w:adjustRightInd/>
        <w:spacing w:after="160" w:line="360" w:lineRule="auto"/>
        <w:ind w:firstLine="709"/>
        <w:jc w:val="both"/>
        <w:rPr>
          <w:rFonts w:eastAsia="Calibri"/>
          <w:sz w:val="28"/>
          <w:szCs w:val="22"/>
          <w:lang w:eastAsia="en-US"/>
        </w:rPr>
      </w:pPr>
      <w:r w:rsidRPr="00D12C01">
        <w:rPr>
          <w:rFonts w:eastAsia="Calibri"/>
          <w:sz w:val="28"/>
          <w:szCs w:val="22"/>
          <w:lang w:eastAsia="en-US"/>
        </w:rPr>
        <w:t>Dnia 3 października 2020 roku do Komisji Skarg, Wniosków i Petycji  wpłynęła skarga na nieudolne i opieszałe rozpatrywanie przez Wydział Rozwoju i Budownictwa Miasta Żyrardów wniosku o pozwolenie na budowę budynku mieszkalnego wielorodzinnego w Żyrardowie przy ulicy Legionów Polskich 50 na działce 3448 obręb 0003 jedn.ew.143801_1. z dnia 19.07.2018.</w:t>
      </w:r>
    </w:p>
    <w:p w14:paraId="5ED0A9F7" w14:textId="456E4261"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Zgodnie z art. 227 Kodeksu postepowania administracyjnego przedmiotem skargi mogą być w szczególności zaniedbanie lub nienależyte wykonywanie zadań przez właściwe organy albo przez ich pracowników, naruszenie praworządności lub interesów skarżących, a także przewlekłe lub biurokratyczne załatwianie spraw. Analizując treść pisma zatytułowanego „Skarga obywatelska” z dnia 6 października 2020 r. złożonego przez Panią Barbarę Górną należy dojść do przekonania, że podnoszone tam okoliczności faktyczne wyczerpują przesłanki określone w powyższym przepisie, co za tym idzie pismo powinno być rozpatrzone w trybie skargowym. </w:t>
      </w:r>
    </w:p>
    <w:p w14:paraId="061544F9"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Skarga dotyczy rozpatrywania przez Wydział Rozwoju i Budownictwa Starostwa powiatowego wniosku o pozwolenie na budowę konkretnego budynku mieszkalnego. Z Publicznej wyszukiwarki Rejestru Wniosków, Decyzji i Zgłoszeń w sprawach budowlanych wynika, że autorka skargi jest inwestorem w niniejszym postepowaniu. Obecnie postepowanie to jest zawieszone z uwagi na występujące w sprawie zagadnienie wstępne.</w:t>
      </w:r>
    </w:p>
    <w:p w14:paraId="7903A892"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Przechodząc do rozważań związanych z organem właściwym do rozpoznania skargi, należy zauważyć, iż nie jest to kwestia jednoznaczna. Wojewódzki Sąd Administracyjny w Gliwicach w wyroku  z dnia 5 sierpnia 2008 r., sygn. akt </w:t>
      </w:r>
      <w:r w:rsidRPr="003A35BB">
        <w:rPr>
          <w:rFonts w:eastAsia="Calibri"/>
          <w:b/>
          <w:bCs/>
          <w:sz w:val="28"/>
          <w:szCs w:val="22"/>
          <w:lang w:eastAsia="en-US"/>
        </w:rPr>
        <w:t xml:space="preserve">IV SA/Gl 77/08 </w:t>
      </w:r>
      <w:r w:rsidRPr="003A35BB">
        <w:rPr>
          <w:rFonts w:eastAsia="Calibri"/>
          <w:sz w:val="28"/>
          <w:szCs w:val="22"/>
          <w:lang w:eastAsia="en-US"/>
        </w:rPr>
        <w:t xml:space="preserve">przyjął, że skarga na pracownika urzędu </w:t>
      </w:r>
      <w:r w:rsidRPr="003A35BB">
        <w:rPr>
          <w:rFonts w:eastAsia="Calibri"/>
          <w:sz w:val="28"/>
          <w:szCs w:val="22"/>
          <w:lang w:eastAsia="en-US"/>
        </w:rPr>
        <w:lastRenderedPageBreak/>
        <w:t>jest w rzeczywistości skargą na kierownika tego urzędu. Należy pamiętać, że istnieje możliwość przekazania takiej skargi do załatwienia przełożonemu służbowemu pracownika, co wynika z art. 232§2 Kodeksu postępowania administracyjnego. Przełożony służbowy ma wówczas obowiązek zawiadomienia organu właściwego do rozpatrzenia skargi o sposobie jej załatwienia.</w:t>
      </w:r>
    </w:p>
    <w:p w14:paraId="1C66D803"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W analizowanym przypadku skarga na pracowników Wydziału Rozwoju i Budownictwa Starostwa Powiatowego w Żyrardowie powinna być zatem uznana za skargę na Starostę. </w:t>
      </w:r>
    </w:p>
    <w:p w14:paraId="30799F04"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Organami uprawnionymi do załatwiania skarg na starostę według art. 229 Kodeksu postępowania administracyjnego są wojewoda w sprawach zadań zleconych z zakresu administracji rządowej oraz rada powiatu w pozostałych sprawach. </w:t>
      </w:r>
    </w:p>
    <w:p w14:paraId="44D63192"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Sprawy z zakresu administracji architektoniczno-budowlanej załatwiane przez starostów mogą być uznane zarówno za zadania zlecone z zakresu administracji rządowej, jak i za zadania własne powiatu.  </w:t>
      </w:r>
    </w:p>
    <w:p w14:paraId="68389510"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i/>
          <w:iCs/>
          <w:sz w:val="28"/>
          <w:szCs w:val="22"/>
          <w:lang w:eastAsia="en-US"/>
        </w:rPr>
        <w:t xml:space="preserve">„Administracja architektoniczno-budowlana jest jednym z zadań publicznych o charakterze ponadgminnym powiatu (art. 4 ust. 1 pkt 11 ustawy z dnia 5 czerwca 1998 r. o samorządzie powiatowym; tekst jedn.: Dz. U. z 2016 r. poz. 814). Zgodnie z art. 4 ust. 4 u.s.p., ustawy mogą określać niektóre sprawy należące do zakresu działania powiatu jako zadania z zakresu administracji rządowej wykonywane przez powiat. W przepisach prawa budowlanego brak przepisu, który określałby zadania z zakresu administracji architektoniczno-budowlanej jako zadania z zakresu administracji rządowej, tak jak np. zostało to określone w art. 11 ust. 1 u.g.n. czy też w art. 3 ust. 1 ustawy z dnia 26 marca 1982 r. o scalaniu i wymianie </w:t>
      </w:r>
      <w:r w:rsidRPr="003A35BB">
        <w:rPr>
          <w:rFonts w:eastAsia="Calibri"/>
          <w:i/>
          <w:iCs/>
          <w:sz w:val="28"/>
          <w:szCs w:val="22"/>
          <w:lang w:eastAsia="en-US"/>
        </w:rPr>
        <w:lastRenderedPageBreak/>
        <w:t xml:space="preserve">gruntów (tekst jedn.: Dz. U. z 2014 r. poz. 700 z późn. zm.). Należy jednakże zauważyć, że po odtworzeniu w Polsce samorządu terytorialnego (27 maja 1990 r.) sprawy z zakresu prawa budowlanego należały do organów administracji rządowej. W ustawie z dnia 17 maja 1990 r. o podziale zadań i kompetencji określonych w ustawach szczególnych pomiędzy organy gminy a organy administracji rządowej oraz o zmianie niektórych ustaw (Dz. U. Nr 34, poz. 198 z późn. zm.) zadania i kompetencje dotychczasowych organów administracji państwowej wynikające z wówczas obowiązującej ustawy z dnia 24 października 1974 r. – Prawo budowlane stały się zadaniami i kompetencjami organów administracji rządowej (nieobowiązujące już art. 5 pkt 16 oraz art. 6 pkt 6 powołanej ustawy z dnia 17 maja 1990 r.). Następnie, po wejściu w życie obecnie obowiązującej ustawy – Prawo budowlane (1 stycznia 1995 r.) do czasu wejścia w życie ustawy o samorządzie powiatowym (1 stycznia 1999 r.) zadania, które wykonuje obecnie starosta jako organ administracji architektoniczno-budowlanej, także należały do zadań organów administracji rządowej. Do 31 grudnia 1998 r. zadania określone w przepisach prawa budowlanego wykonywały organy państwowego nadzoru budowlanego, które dzieliły się na nadzór architektoniczno-budowlany oraz specjalistyczny nadzór budowlany (art. 80 ust. 1 pr. bud. w brzmieniu obowiązującym do 1 stycznia 1999 r.). Naczelnym organem administracji rządowej w sprawach nadzoru architektoniczno-budowlanego i specjalistycznego nadzoru budowlanego, z wyjątkiem spraw z dziedzin transportu kolejowego i górnictwa, był Minister Spraw Wewnętrznych i Administracji, a w tych samych sprawach centralnym organem administracji rządowej w sprawach nadzoru architektoniczno-budowlanego i specjalistycznego nadzoru budowlanego był Główny Inspektor Nadzoru Budowlanego. W dziedzinie transportu kolejowego naczelnym organem administracji rządowej w sprawach specjalistycznego nadzoru budowlanego </w:t>
      </w:r>
      <w:r w:rsidRPr="003A35BB">
        <w:rPr>
          <w:rFonts w:eastAsia="Calibri"/>
          <w:i/>
          <w:iCs/>
          <w:sz w:val="28"/>
          <w:szCs w:val="22"/>
          <w:lang w:eastAsia="en-US"/>
        </w:rPr>
        <w:lastRenderedPageBreak/>
        <w:t xml:space="preserve">był Minister Transportu i Gospodarki Morskiej. Organy administracji rządowej właściwe w sprawach specjalistycznego nadzoru budowlanego w dziedzinie górnictwa określały odrębne przepisy. Ponadto ustawa wyróżniała terenowe organy nadzoru architektoniczno-budowlanego i terenowe organy specjalistycznego nadzoru budowlanego (art. 80 ust. 2 i 3 w brzmieniu obowiązującym do 1 stycznia 1999 r.). Zgodnie z art. 84 ust. 1 w brzmieniu obowiązującym do 1 stycznia 1999 r., terenowymi organami nadzoru architektoniczno-budowlanego byli wojewoda i kierownik urzędu rejonowego, przy czym ten ostatni był organem pierwszej instancji, o ile ustawa nie stanowiła inaczej. Ustawą z dnia 24 lipca 1998 r. o zmianie niektórych ustaw określających kompetencje organów administracji publicznej – w związku z reformą ustrojową państwa (Dz. U. Nr 106, poz. 668 z późn. zm.), która weszła w życie 1 stycznia 1999 r., zmieniono rozdział 8 prawa budowlanego w ten sposób, że w miejsce państwowego nadzoru budowlanego utworzono administrację architektoniczno-budowlaną i nadzór budowlany, powierzając zadania administracji architektoniczno-budowlanej Głównemu Inspektorowi Nadzoru Budowlanego, wojewodzie oraz staroście. Z dniem 1 stycznia 1999 r. weszła w życie także ustawa o samorządzie powiatowym, w której, jak już wspomniano, zdania z zakresu administracji architektoniczno-budowlanej określono jako zadania publiczne o charakterze ponadgminnym. Natomiast w ustawie z dnia 13 października 1998 r. – Przepisy wprowadzające ustawy reformujące administrację publiczną (Dz. U. Nr 133, poz. 872 z późn. zm.) przyjęto zasadę, że urzędy rejonowe stają się starostwami (art. 14 ustawy), oraz zawarto przepis (art. 94 ustawy), według którego do właściwości starosty przechodzą, jeżeli przepisy szczególne nie stanowią inaczej, jako zadania z zakresu administracji rządowej, określone w przepisach zadania urzędów rejonowych rządowej administracji ogólnej oraz zadania i kompetencje </w:t>
      </w:r>
      <w:r w:rsidRPr="003A35BB">
        <w:rPr>
          <w:rFonts w:eastAsia="Calibri"/>
          <w:i/>
          <w:iCs/>
          <w:sz w:val="28"/>
          <w:szCs w:val="22"/>
          <w:lang w:eastAsia="en-US"/>
        </w:rPr>
        <w:lastRenderedPageBreak/>
        <w:t>kierowników tych urzędów</w:t>
      </w:r>
      <w:r w:rsidRPr="003A35BB">
        <w:rPr>
          <w:rFonts w:eastAsia="Calibri"/>
          <w:i/>
          <w:iCs/>
          <w:sz w:val="28"/>
          <w:szCs w:val="22"/>
          <w:u w:val="single"/>
          <w:lang w:eastAsia="en-US"/>
        </w:rPr>
        <w:t>. Te uregulowania mogłyby świadczyć, że zadania powiatu z zakresu administracji architektoniczno-budowlanej są, niejako na zasadzie sukcesji, zadaniami administracji rządowej.</w:t>
      </w:r>
      <w:r w:rsidRPr="003A35BB">
        <w:rPr>
          <w:rFonts w:eastAsia="Calibri"/>
          <w:i/>
          <w:iCs/>
          <w:sz w:val="28"/>
          <w:szCs w:val="22"/>
          <w:lang w:eastAsia="en-US"/>
        </w:rPr>
        <w:t xml:space="preserve"> Zauważyć też należy, że zarówno art. 4 ust. 4 u.s.p., jak i art. 2 pkt 5 ustawy z dnia 23 stycznia 2009 r. o wojewodzie i administracji rządowej w województwie (tekst jedn.: Dz. U. z 2015 r. poz. 525 z późn. zm.) dla uznania, że zadania powiatu należą do zadań z zakresu administracji rządowej, lub do przyjęcia, że starosta wykonuje zadania z zakresu administracji rządowej, wymagają przepisu ustawy. Za taki przepis ustawy można uznać art. 94 wyżej wymienionej ustawy – Przepisy wprowadzające ustawy reformujące administrację publiczną, przyjmując, że starosta wykonuje zadania z zakresu administracji rządowej, uzyskane w drodze „sukcesji” (tak W. Jakimowicz, Decyzja o pozwoleniu na budowę jako przejaw realizowania przez starostę zadań z zakresu administracji rządowej, Casus 2016, nr 80, s. 6–12).”</w:t>
      </w:r>
      <w:r w:rsidRPr="003A35BB">
        <w:rPr>
          <w:rFonts w:eastAsia="Calibri"/>
          <w:i/>
          <w:iCs/>
          <w:sz w:val="28"/>
          <w:szCs w:val="22"/>
          <w:vertAlign w:val="superscript"/>
          <w:lang w:eastAsia="en-US"/>
        </w:rPr>
        <w:footnoteReference w:id="1"/>
      </w:r>
    </w:p>
    <w:p w14:paraId="5DBB7DA6"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Niemniej w orzecznictwie cywilnym wyrażany jest pogląd przeciwny (vide: Wyrok Sądu Apelacyjnego w Krakowie z dnia 15 maja 2014 r., sygn. akt I ACa 331/14).</w:t>
      </w:r>
    </w:p>
    <w:p w14:paraId="7CD0264A"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i/>
          <w:iCs/>
          <w:sz w:val="28"/>
          <w:szCs w:val="22"/>
          <w:lang w:eastAsia="en-US"/>
        </w:rPr>
        <w:t>Powyższe wywody uzupełniają argumentację sądu I instancji i wraz z nią jednoznacznie wskazują</w:t>
      </w:r>
      <w:r w:rsidRPr="003A35BB">
        <w:rPr>
          <w:rFonts w:eastAsia="Calibri"/>
          <w:i/>
          <w:iCs/>
          <w:sz w:val="28"/>
          <w:szCs w:val="22"/>
          <w:u w:val="single"/>
          <w:lang w:eastAsia="en-US"/>
        </w:rPr>
        <w:t>, że starosta, wykonując zadania z zakresu administracji architektoniczno-budowlanej, wykonuje zadania własne powiatu.</w:t>
      </w:r>
      <w:r w:rsidRPr="003A35BB">
        <w:rPr>
          <w:rFonts w:eastAsia="Calibri"/>
          <w:i/>
          <w:iCs/>
          <w:sz w:val="28"/>
          <w:szCs w:val="22"/>
          <w:lang w:eastAsia="en-US"/>
        </w:rPr>
        <w:t xml:space="preserve"> Sąd Apelacyjny w obecnym składzie uważa za błędną powoływaną przez powódkę linię orzecznictwa sądów administracyjnych dotyczącą tej kwestii. Nie sposób przy tym nie wskazać na odmienne od orzeczeń sądów administracyjnych stanowisko Sądu Najwyższego wyrażone w uzasadnieniu wyroku z dnia 9 stycznia 2013 r. sygn. III CSK 89/12. Sąd Najwyższy </w:t>
      </w:r>
      <w:r w:rsidRPr="003A35BB">
        <w:rPr>
          <w:rFonts w:eastAsia="Calibri"/>
          <w:i/>
          <w:iCs/>
          <w:sz w:val="28"/>
          <w:szCs w:val="22"/>
          <w:lang w:eastAsia="en-US"/>
        </w:rPr>
        <w:lastRenderedPageBreak/>
        <w:t>wskazuje tam, że na szczeblu powiatu i województwa struktury administracji architektoniczno-budowlanej i nadzoru budowlanego są rozdzielone i stosownie do treści art. 80 prawa budowlanego zadania terenowych organów administracji architektoniczno-budowlanej wykonują odpowiednio starosta (jako organ I instancji) i wojewoda (jako organ II instancji), a przepis ten jest zharmonizowany z art. 4 ust. 1 pkt 11 ustawy o samorządzie powiatowym, który stanowi, że do powiatu należy wykonywanie zadań publicznych o charakterze ponadgminnym w zakresie administracji architektoniczno-budowlanej. W konsekwencji do zadań własnych powiatu należą funkcje administracyjno-prawne wykonywane przez organy administracji architektoniczno-budowlanej, nie wchodzą natomiast w zakres tych zadań funkcje inspekcyjno-kontrolne nadzoru budowlanego, gdyż powiatowe inspektoraty nadzoru budowlanego są samodzielnymi organami administracji rządowej.</w:t>
      </w:r>
    </w:p>
    <w:p w14:paraId="5859CEAE"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W ujęciu administracyjnym raczej dominuje uznawanie tej kategorii zadań za zadania zlecone z zakresu administracji rządowej, niemniej orzecznictwo jest niejednolite.  Co istotne, w zależności od przyjęcia charakteru tych zadań zmienia się organ właściwy do załatwienia przedmiotowej skargi. </w:t>
      </w:r>
    </w:p>
    <w:p w14:paraId="085AD556"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Drugą kluczową kwestią w niniejszej sprawie jest pierwszeństwo postępowania jurysdykcyjnego przed postepowaniem skargowym, wynikające z art. 233 i 234 Kodeksu postepowania administracyjnego. W sprawie, w której toczy się postępowanie administracyjne skarga złożona przez stronę podlega rozpatrzeniu w toku postępowania, zgodnie z przepisami kodeksu. </w:t>
      </w:r>
    </w:p>
    <w:p w14:paraId="1FB6FBD7"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W analizowanym przypadku postepowanie administracyjne zostało zawieszone. Mogą  tu zaistnieć wątpliwości, czy  w istocie spełnione są </w:t>
      </w:r>
      <w:r w:rsidRPr="003A35BB">
        <w:rPr>
          <w:rFonts w:eastAsia="Calibri"/>
          <w:sz w:val="28"/>
          <w:szCs w:val="22"/>
          <w:lang w:eastAsia="en-US"/>
        </w:rPr>
        <w:lastRenderedPageBreak/>
        <w:t xml:space="preserve">przesłanki z art. 233 Kodeksu postępowania administracyjnego. Wojewódzki Sąd Administracyjny w Gdańsku w wyroku z dnia 4 września 2019 r., sygn. akt </w:t>
      </w:r>
      <w:r w:rsidRPr="003A35BB">
        <w:rPr>
          <w:rFonts w:eastAsia="Calibri"/>
          <w:b/>
          <w:bCs/>
          <w:sz w:val="28"/>
          <w:szCs w:val="22"/>
          <w:lang w:eastAsia="en-US"/>
        </w:rPr>
        <w:t xml:space="preserve">II SAB/Gd 79/19 </w:t>
      </w:r>
      <w:r w:rsidRPr="003A35BB">
        <w:rPr>
          <w:rFonts w:eastAsia="Calibri"/>
          <w:sz w:val="28"/>
          <w:szCs w:val="22"/>
          <w:lang w:eastAsia="en-US"/>
        </w:rPr>
        <w:t>podniósł, że:</w:t>
      </w:r>
    </w:p>
    <w:p w14:paraId="49E83867"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„zawieszenie postępowania jest instytucją procesową, której istota wyraża się </w:t>
      </w:r>
      <w:r w:rsidRPr="003A35BB">
        <w:rPr>
          <w:rFonts w:eastAsia="Calibri"/>
          <w:sz w:val="28"/>
          <w:szCs w:val="22"/>
          <w:u w:val="single"/>
          <w:lang w:eastAsia="en-US"/>
        </w:rPr>
        <w:t>w przerwie w toczącym się postępowaniu</w:t>
      </w:r>
      <w:r w:rsidRPr="003A35BB">
        <w:rPr>
          <w:rFonts w:eastAsia="Calibri"/>
          <w:sz w:val="28"/>
          <w:szCs w:val="22"/>
          <w:lang w:eastAsia="en-US"/>
        </w:rPr>
        <w:t xml:space="preserve"> - z przyczyn określonych w ustawie - kiedy to następuje zaniechanie podejmowania czynności prowadzących do rozstrzygnięcia sprawy. </w:t>
      </w:r>
      <w:r w:rsidRPr="003A35BB">
        <w:rPr>
          <w:rFonts w:eastAsia="Calibri"/>
          <w:sz w:val="28"/>
          <w:szCs w:val="22"/>
          <w:u w:val="single"/>
          <w:lang w:eastAsia="en-US"/>
        </w:rPr>
        <w:t>Zawieszenie postępowania polega na wstrzymaniu toku postępowania (czynności procesowych</w:t>
      </w:r>
      <w:r w:rsidRPr="003A35BB">
        <w:rPr>
          <w:rFonts w:eastAsia="Calibri"/>
          <w:sz w:val="28"/>
          <w:szCs w:val="22"/>
          <w:lang w:eastAsia="en-US"/>
        </w:rPr>
        <w:t>), ale pozostaje bez wpływu na cechy i charakter sprawy, która jest jego przedmiotem, i nie zmierza do zakończenia stosunku procesowego nawiązanego między organem prowadzącym postępowanie a stronami. Zawieszenie postępowania narusza zatem jego ciągłość, ale nie powoduje żadnych innych skutków poza odsunięciem w czasie końcowego rozstrzygnięcia. Zawieszenie postępowania jest więc "legalnym" wstrzymaniem ciągłości postępowania, kiedy to nie biegną terminy rozpoznania sprawy administracyjnej. Powodem przerwania postępowania są - najogólniej rzecz ujmując - zdarzenia, których wystąpienie sprawia, że kontynuacja postępowania jest niecelowa lub w ogóle niemożliwa bez naruszenia zasad, które ustawodawca uznaje za obowiązujące w postępowaniu administracyjnym. W odniesieniu do przesłanek zawieszenia postępowania wymienionych w art. 97 § 1 pkt 1-3 k.p.a. chodzi o zasadę czynnego udziału w postępowaniu, a w odniesieniu do przesłanki wymienionej w art. 97 § 1 pkt 4 k.p.a. - o zasadę legalności (G. Łaszczyca, Zawieszenie ogólnego postępowania administracyjnego, Kraków 2005, s. 29).”</w:t>
      </w:r>
    </w:p>
    <w:p w14:paraId="6CC8A454"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Z kolei Wojewódzki Sąd Administracyjny w Szczecinie w wyroku z dnia 29 kwietnia 2020 r., sygn.. akt I SAB/Sz 13/20 uznał, że:</w:t>
      </w:r>
    </w:p>
    <w:p w14:paraId="68550D58"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lastRenderedPageBreak/>
        <w:t xml:space="preserve"> </w:t>
      </w:r>
      <w:r w:rsidRPr="003A35BB">
        <w:rPr>
          <w:rFonts w:eastAsia="Calibri"/>
          <w:i/>
          <w:iCs/>
          <w:sz w:val="28"/>
          <w:szCs w:val="22"/>
          <w:lang w:eastAsia="en-US"/>
        </w:rPr>
        <w:t xml:space="preserve">W razie wniesienia w toku postępowania jurysdykcyjnego pisma zatytułowanego jako: "skarga" przez stronę tego postępowania, podlega ono rozpatrzeniu w toku tego postępowania. Zawartość takiego pisma, a nie nazwa, decyduje o jego klasyfikacji. Pismo takie może stanowić np. zażalenie, odwołanie, wniosek o ponowne rozpatrzenie sprawy przez ten sam organ, wniosek o zawieszenie postępowania, wniosek o umorzenie postępowania czy też pismo zawierające wnioski dowodowe. </w:t>
      </w:r>
      <w:r w:rsidRPr="003A35BB">
        <w:rPr>
          <w:rFonts w:eastAsia="Calibri"/>
          <w:i/>
          <w:iCs/>
          <w:sz w:val="28"/>
          <w:szCs w:val="22"/>
          <w:u w:val="single"/>
          <w:lang w:eastAsia="en-US"/>
        </w:rPr>
        <w:t>Postępowanie skargowe jest bowiem postępowaniem subsydiarnym w stosunku do postępowania administracyjnego.</w:t>
      </w:r>
      <w:r w:rsidRPr="003A35BB">
        <w:rPr>
          <w:rFonts w:eastAsia="Calibri"/>
          <w:i/>
          <w:iCs/>
          <w:sz w:val="28"/>
          <w:szCs w:val="22"/>
          <w:lang w:eastAsia="en-US"/>
        </w:rPr>
        <w:t xml:space="preserve"> </w:t>
      </w:r>
      <w:r w:rsidRPr="003A35BB">
        <w:rPr>
          <w:rFonts w:eastAsia="Calibri"/>
          <w:i/>
          <w:iCs/>
          <w:sz w:val="28"/>
          <w:szCs w:val="22"/>
          <w:u w:val="single"/>
          <w:lang w:eastAsia="en-US"/>
        </w:rPr>
        <w:t>Owa subsydiarność oznacza, że wszczęcie postępowania skargowego, jako odrębnego postępowania, następuje jedynie w przypadku, gdy sprawa, której skarga dotyczy, nie jest ani nie może być przedmiotem jurysdykcyjnego postępowania administracyjnego.</w:t>
      </w:r>
      <w:r w:rsidRPr="003A35BB">
        <w:rPr>
          <w:rFonts w:eastAsia="Calibri"/>
          <w:i/>
          <w:iCs/>
          <w:sz w:val="28"/>
          <w:szCs w:val="22"/>
          <w:lang w:eastAsia="en-US"/>
        </w:rPr>
        <w:t> W przeciwnym razie, skarga podlega rozpoznaniu w ramach postępowania jurysdykcyjnego (por. Legalis, Kodeks postępowania administracyjnego, Komentarz 2020, wyd. 6 pod red. R. Hausera).</w:t>
      </w:r>
    </w:p>
    <w:p w14:paraId="21EDD94A" w14:textId="24BFB028"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Biorąc pod uwagę powyższe, możliwe byłoby przyjęcie, że postepowanie administracyjne w sprawie wydania pozwolenia na budowę z wniosku Skarżącej generalnie się toczy. Nastąpiła jedynie przerwa w jego toku w postaci zawieszenia postepowania, która nie uzasadnia niestosowania zasady pierwszeństwa postepowania jurysdykcyjnego. </w:t>
      </w:r>
    </w:p>
    <w:p w14:paraId="3CB5AA13" w14:textId="77777777" w:rsidR="003A35BB" w:rsidRPr="003A35BB" w:rsidRDefault="003A35BB" w:rsidP="003A35BB">
      <w:pPr>
        <w:widowControl/>
        <w:suppressAutoHyphens/>
        <w:autoSpaceDE/>
        <w:adjustRightInd/>
        <w:spacing w:after="160" w:line="360" w:lineRule="auto"/>
        <w:ind w:firstLine="709"/>
        <w:jc w:val="both"/>
        <w:rPr>
          <w:rFonts w:eastAsia="Calibri"/>
          <w:sz w:val="28"/>
          <w:szCs w:val="22"/>
          <w:lang w:eastAsia="en-US"/>
        </w:rPr>
      </w:pPr>
      <w:r w:rsidRPr="003A35BB">
        <w:rPr>
          <w:rFonts w:eastAsia="Calibri"/>
          <w:sz w:val="28"/>
          <w:szCs w:val="22"/>
          <w:lang w:eastAsia="en-US"/>
        </w:rPr>
        <w:t xml:space="preserve">Należałoby zatem, zgodnie z trybem z art. 231 Kodeksu postepowania administracyjnego, przekazać skargę do organu właściwego, którym stosownie do art. 236 § 1 Kodeksu postępowania administracyjnego jest organu przed którym toczy się postępowanie administracyjne, czyli Starosta. </w:t>
      </w:r>
    </w:p>
    <w:p w14:paraId="286400E4" w14:textId="77777777" w:rsidR="0056432B" w:rsidRDefault="0056432B" w:rsidP="0056432B">
      <w:pPr>
        <w:shd w:val="clear" w:color="auto" w:fill="FFFFFF"/>
        <w:jc w:val="both"/>
        <w:rPr>
          <w:rFonts w:eastAsia="Times New Roman"/>
          <w:sz w:val="28"/>
          <w:szCs w:val="28"/>
        </w:rPr>
      </w:pPr>
    </w:p>
    <w:p w14:paraId="1F82FA2E" w14:textId="77777777" w:rsidR="0056432B" w:rsidRDefault="0056432B" w:rsidP="0056432B">
      <w:pPr>
        <w:shd w:val="clear" w:color="auto" w:fill="FFFFFF"/>
        <w:jc w:val="both"/>
        <w:rPr>
          <w:rFonts w:eastAsia="Times New Roman"/>
          <w:sz w:val="28"/>
          <w:szCs w:val="28"/>
        </w:rPr>
      </w:pPr>
    </w:p>
    <w:p w14:paraId="7EC477E5" w14:textId="77777777" w:rsidR="0056432B" w:rsidRDefault="0056432B" w:rsidP="0056432B">
      <w:pPr>
        <w:shd w:val="clear" w:color="auto" w:fill="FFFFFF"/>
        <w:jc w:val="both"/>
        <w:rPr>
          <w:rFonts w:eastAsia="Times New Roman"/>
          <w:sz w:val="28"/>
          <w:szCs w:val="28"/>
        </w:rPr>
      </w:pPr>
    </w:p>
    <w:p w14:paraId="52388D71" w14:textId="77777777" w:rsidR="00EA3A07" w:rsidRDefault="00EA3A07" w:rsidP="00EA3A07">
      <w:pPr>
        <w:ind w:left="3600" w:firstLine="720"/>
        <w:jc w:val="both"/>
        <w:rPr>
          <w:b/>
          <w:sz w:val="28"/>
          <w:szCs w:val="28"/>
        </w:rPr>
      </w:pPr>
      <w:r>
        <w:rPr>
          <w:b/>
          <w:sz w:val="28"/>
          <w:szCs w:val="28"/>
        </w:rPr>
        <w:t>Przewodniczący</w:t>
      </w:r>
    </w:p>
    <w:p w14:paraId="5E970EA0" w14:textId="77777777" w:rsidR="00EA3A07" w:rsidRDefault="00EA3A07" w:rsidP="00EA3A07">
      <w:pPr>
        <w:jc w:val="both"/>
        <w:rPr>
          <w:b/>
          <w:sz w:val="28"/>
          <w:szCs w:val="28"/>
        </w:rPr>
      </w:pPr>
      <w:r>
        <w:rPr>
          <w:b/>
          <w:sz w:val="28"/>
          <w:szCs w:val="28"/>
        </w:rPr>
        <w:lastRenderedPageBreak/>
        <w:t xml:space="preserve">                        </w:t>
      </w:r>
      <w:r w:rsidR="00F01E83">
        <w:rPr>
          <w:b/>
          <w:sz w:val="28"/>
          <w:szCs w:val="28"/>
        </w:rPr>
        <w:t xml:space="preserve">     </w:t>
      </w:r>
      <w:r>
        <w:rPr>
          <w:b/>
          <w:sz w:val="28"/>
          <w:szCs w:val="28"/>
        </w:rPr>
        <w:t>Rady Powiatu Żyrardowskiego</w:t>
      </w:r>
    </w:p>
    <w:p w14:paraId="64190383" w14:textId="77777777" w:rsidR="00EA3A07" w:rsidRDefault="00EA3A07" w:rsidP="00EA3A07">
      <w:pPr>
        <w:ind w:left="5103" w:firstLine="142"/>
        <w:jc w:val="both"/>
        <w:rPr>
          <w:b/>
          <w:sz w:val="28"/>
          <w:szCs w:val="28"/>
        </w:rPr>
      </w:pPr>
    </w:p>
    <w:p w14:paraId="1833A787" w14:textId="6E5A25E8" w:rsidR="0056432B" w:rsidRDefault="00EA3A07" w:rsidP="007D06AA">
      <w:pPr>
        <w:ind w:left="2160" w:firstLine="720"/>
        <w:jc w:val="both"/>
        <w:rPr>
          <w:rStyle w:val="FontStyle14"/>
        </w:rPr>
      </w:pPr>
      <w:r>
        <w:rPr>
          <w:b/>
          <w:i/>
          <w:sz w:val="28"/>
          <w:szCs w:val="28"/>
        </w:rPr>
        <w:t xml:space="preserve">          </w:t>
      </w:r>
      <w:r w:rsidR="00F01E83">
        <w:rPr>
          <w:b/>
          <w:i/>
          <w:sz w:val="28"/>
          <w:szCs w:val="28"/>
        </w:rPr>
        <w:t xml:space="preserve">   </w:t>
      </w:r>
      <w:r w:rsidR="007D06AA" w:rsidRPr="007D06AA">
        <w:rPr>
          <w:b/>
          <w:i/>
          <w:sz w:val="28"/>
          <w:szCs w:val="28"/>
        </w:rPr>
        <w:t>Klaudiusz Stusiński</w:t>
      </w:r>
    </w:p>
    <w:p w14:paraId="10AE9A92" w14:textId="77777777" w:rsidR="00437AFD" w:rsidRDefault="00437AFD" w:rsidP="00EF01B9">
      <w:pPr>
        <w:pStyle w:val="Style4"/>
        <w:widowControl/>
        <w:spacing w:before="58"/>
        <w:ind w:left="5189"/>
        <w:rPr>
          <w:rStyle w:val="FontStyle14"/>
        </w:rPr>
      </w:pPr>
    </w:p>
    <w:sectPr w:rsidR="00437AFD">
      <w:type w:val="continuous"/>
      <w:pgSz w:w="11905" w:h="16837"/>
      <w:pgMar w:top="1908" w:right="1670" w:bottom="1440" w:left="1670"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B7553" w14:textId="77777777" w:rsidR="0086236F" w:rsidRDefault="0086236F">
      <w:r>
        <w:separator/>
      </w:r>
    </w:p>
  </w:endnote>
  <w:endnote w:type="continuationSeparator" w:id="0">
    <w:p w14:paraId="5C5342CC" w14:textId="77777777" w:rsidR="0086236F" w:rsidRDefault="00862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C932E" w14:textId="77777777" w:rsidR="0086236F" w:rsidRDefault="0086236F">
      <w:r>
        <w:separator/>
      </w:r>
    </w:p>
  </w:footnote>
  <w:footnote w:type="continuationSeparator" w:id="0">
    <w:p w14:paraId="0451860A" w14:textId="77777777" w:rsidR="0086236F" w:rsidRDefault="0086236F">
      <w:r>
        <w:continuationSeparator/>
      </w:r>
    </w:p>
  </w:footnote>
  <w:footnote w:id="1">
    <w:p w14:paraId="204A6B9A" w14:textId="036EFE21" w:rsidR="003A35BB" w:rsidRDefault="003A35BB" w:rsidP="003A35BB">
      <w:pPr>
        <w:pStyle w:val="Tekstprzypisudolnego"/>
      </w:pPr>
      <w:r>
        <w:rPr>
          <w:rStyle w:val="Odwoanieprzypisudolnego"/>
        </w:rPr>
        <w:footnoteRef/>
      </w:r>
      <w:r>
        <w:t xml:space="preserve"> Z. Kostka [w:] </w:t>
      </w:r>
      <w:r>
        <w:rPr>
          <w:i/>
          <w:iCs/>
        </w:rPr>
        <w:t>Prawo budowlane. Komentarz, wyd. III</w:t>
      </w:r>
      <w:r>
        <w:t>, red. A. Gliniecki, Warszawa 2016, art. 80.https://sip.lex.pl/#/commentary/587518805/509705/gliniecki-andrzej-red-prawo-budowlane-komentarz-wyd-iii?cm=URELATIONS (dostęp: 2020-10-12 13:01)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46235"/>
    <w:multiLevelType w:val="singleLevel"/>
    <w:tmpl w:val="0C8A80EA"/>
    <w:lvl w:ilvl="0">
      <w:start w:val="1"/>
      <w:numFmt w:val="decimal"/>
      <w:lvlText w:val="%1."/>
      <w:legacy w:legacy="1" w:legacySpace="0" w:legacyIndent="274"/>
      <w:lvlJc w:val="left"/>
      <w:rPr>
        <w:rFonts w:ascii="Times New Roman" w:hAnsi="Times New Roman" w:cs="Times New Roman" w:hint="default"/>
      </w:rPr>
    </w:lvl>
  </w:abstractNum>
  <w:abstractNum w:abstractNumId="1" w15:restartNumberingAfterBreak="0">
    <w:nsid w:val="0109596E"/>
    <w:multiLevelType w:val="multilevel"/>
    <w:tmpl w:val="100E5D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36F"/>
    <w:rsid w:val="00134981"/>
    <w:rsid w:val="001912AD"/>
    <w:rsid w:val="00255FE8"/>
    <w:rsid w:val="0029139C"/>
    <w:rsid w:val="0035487B"/>
    <w:rsid w:val="003A35BB"/>
    <w:rsid w:val="00437AFD"/>
    <w:rsid w:val="005278D8"/>
    <w:rsid w:val="0056432B"/>
    <w:rsid w:val="006536DA"/>
    <w:rsid w:val="006F327A"/>
    <w:rsid w:val="00717881"/>
    <w:rsid w:val="007D06AA"/>
    <w:rsid w:val="00806E6C"/>
    <w:rsid w:val="00813785"/>
    <w:rsid w:val="0086236F"/>
    <w:rsid w:val="00880F14"/>
    <w:rsid w:val="00934216"/>
    <w:rsid w:val="00BE57EA"/>
    <w:rsid w:val="00C868AA"/>
    <w:rsid w:val="00D12C01"/>
    <w:rsid w:val="00E54281"/>
    <w:rsid w:val="00EA3A07"/>
    <w:rsid w:val="00EF01B9"/>
    <w:rsid w:val="00F01E83"/>
    <w:rsid w:val="00F07F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FB7121"/>
  <w14:defaultImageDpi w14:val="0"/>
  <w15:docId w15:val="{9B52A445-8630-420C-A848-A2B662CE8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uiPriority w:val="99"/>
    <w:pPr>
      <w:spacing w:line="298" w:lineRule="exact"/>
      <w:jc w:val="center"/>
    </w:pPr>
  </w:style>
  <w:style w:type="paragraph" w:customStyle="1" w:styleId="Style2">
    <w:name w:val="Style2"/>
    <w:basedOn w:val="Normalny"/>
    <w:uiPriority w:val="99"/>
  </w:style>
  <w:style w:type="paragraph" w:customStyle="1" w:styleId="Style3">
    <w:name w:val="Style3"/>
    <w:basedOn w:val="Normalny"/>
    <w:uiPriority w:val="99"/>
    <w:pPr>
      <w:spacing w:line="278" w:lineRule="exact"/>
      <w:ind w:firstLine="389"/>
      <w:jc w:val="both"/>
    </w:pPr>
  </w:style>
  <w:style w:type="paragraph" w:customStyle="1" w:styleId="Style4">
    <w:name w:val="Style4"/>
    <w:basedOn w:val="Normalny"/>
    <w:uiPriority w:val="99"/>
    <w:pPr>
      <w:spacing w:line="461" w:lineRule="exact"/>
      <w:jc w:val="center"/>
    </w:pPr>
  </w:style>
  <w:style w:type="paragraph" w:customStyle="1" w:styleId="Style5">
    <w:name w:val="Style5"/>
    <w:basedOn w:val="Normalny"/>
    <w:uiPriority w:val="99"/>
    <w:pPr>
      <w:spacing w:line="274" w:lineRule="exact"/>
      <w:ind w:firstLine="403"/>
      <w:jc w:val="both"/>
    </w:pPr>
  </w:style>
  <w:style w:type="paragraph" w:customStyle="1" w:styleId="Style6">
    <w:name w:val="Style6"/>
    <w:basedOn w:val="Normalny"/>
    <w:uiPriority w:val="99"/>
  </w:style>
  <w:style w:type="paragraph" w:customStyle="1" w:styleId="Style7">
    <w:name w:val="Style7"/>
    <w:basedOn w:val="Normalny"/>
    <w:uiPriority w:val="99"/>
  </w:style>
  <w:style w:type="paragraph" w:customStyle="1" w:styleId="Style8">
    <w:name w:val="Style8"/>
    <w:basedOn w:val="Normalny"/>
    <w:uiPriority w:val="99"/>
  </w:style>
  <w:style w:type="paragraph" w:customStyle="1" w:styleId="Style9">
    <w:name w:val="Style9"/>
    <w:basedOn w:val="Normalny"/>
    <w:uiPriority w:val="99"/>
  </w:style>
  <w:style w:type="character" w:customStyle="1" w:styleId="FontStyle11">
    <w:name w:val="Font Style11"/>
    <w:basedOn w:val="Domylnaczcionkaakapitu"/>
    <w:uiPriority w:val="99"/>
    <w:rPr>
      <w:rFonts w:ascii="Times New Roman" w:hAnsi="Times New Roman" w:cs="Times New Roman"/>
      <w:b/>
      <w:bCs/>
      <w:sz w:val="26"/>
      <w:szCs w:val="26"/>
    </w:rPr>
  </w:style>
  <w:style w:type="character" w:customStyle="1" w:styleId="FontStyle12">
    <w:name w:val="Font Style12"/>
    <w:basedOn w:val="Domylnaczcionkaakapitu"/>
    <w:uiPriority w:val="99"/>
    <w:rPr>
      <w:rFonts w:ascii="Times New Roman" w:hAnsi="Times New Roman" w:cs="Times New Roman"/>
      <w:b/>
      <w:bCs/>
      <w:sz w:val="20"/>
      <w:szCs w:val="20"/>
    </w:rPr>
  </w:style>
  <w:style w:type="character" w:customStyle="1" w:styleId="FontStyle13">
    <w:name w:val="Font Style13"/>
    <w:basedOn w:val="Domylnaczcionkaakapitu"/>
    <w:uiPriority w:val="99"/>
    <w:rPr>
      <w:rFonts w:ascii="Times New Roman" w:hAnsi="Times New Roman" w:cs="Times New Roman"/>
      <w:sz w:val="22"/>
      <w:szCs w:val="22"/>
    </w:rPr>
  </w:style>
  <w:style w:type="character" w:customStyle="1" w:styleId="FontStyle14">
    <w:name w:val="Font Style14"/>
    <w:basedOn w:val="Domylnaczcionkaakapitu"/>
    <w:uiPriority w:val="99"/>
    <w:rPr>
      <w:rFonts w:ascii="Microsoft Sans Serif" w:hAnsi="Microsoft Sans Serif" w:cs="Microsoft Sans Serif"/>
      <w:sz w:val="20"/>
      <w:szCs w:val="20"/>
    </w:rPr>
  </w:style>
  <w:style w:type="character" w:styleId="Hipercze">
    <w:name w:val="Hyperlink"/>
    <w:basedOn w:val="Domylnaczcionkaakapitu"/>
    <w:uiPriority w:val="99"/>
    <w:rPr>
      <w:color w:val="0066CC"/>
      <w:u w:val="single"/>
    </w:rPr>
  </w:style>
  <w:style w:type="paragraph" w:styleId="Tekstdymka">
    <w:name w:val="Balloon Text"/>
    <w:basedOn w:val="Normalny"/>
    <w:link w:val="TekstdymkaZnak"/>
    <w:uiPriority w:val="99"/>
    <w:semiHidden/>
    <w:unhideWhenUsed/>
    <w:rsid w:val="009342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4216"/>
    <w:rPr>
      <w:rFonts w:ascii="Segoe UI" w:hAnsi="Segoe UI" w:cs="Segoe UI"/>
      <w:sz w:val="18"/>
      <w:szCs w:val="18"/>
    </w:rPr>
  </w:style>
  <w:style w:type="paragraph" w:styleId="Tekstprzypisudolnego">
    <w:name w:val="footnote text"/>
    <w:basedOn w:val="Normalny"/>
    <w:link w:val="TekstprzypisudolnegoZnak"/>
    <w:semiHidden/>
    <w:unhideWhenUsed/>
    <w:rsid w:val="003A35BB"/>
    <w:pPr>
      <w:widowControl/>
      <w:suppressAutoHyphens/>
      <w:autoSpaceDE/>
      <w:adjustRightInd/>
      <w:ind w:firstLine="709"/>
      <w:jc w:val="both"/>
    </w:pPr>
    <w:rPr>
      <w:rFonts w:eastAsia="Calibri"/>
      <w:sz w:val="20"/>
      <w:szCs w:val="20"/>
      <w:lang w:eastAsia="en-US"/>
    </w:rPr>
  </w:style>
  <w:style w:type="character" w:customStyle="1" w:styleId="TekstprzypisudolnegoZnak">
    <w:name w:val="Tekst przypisu dolnego Znak"/>
    <w:basedOn w:val="Domylnaczcionkaakapitu"/>
    <w:link w:val="Tekstprzypisudolnego"/>
    <w:semiHidden/>
    <w:rsid w:val="003A35BB"/>
    <w:rPr>
      <w:rFonts w:eastAsia="Calibri" w:hAnsi="Times New Roman" w:cs="Times New Roman"/>
      <w:sz w:val="20"/>
      <w:szCs w:val="20"/>
      <w:lang w:eastAsia="en-US"/>
    </w:rPr>
  </w:style>
  <w:style w:type="character" w:styleId="Odwoanieprzypisudolnego">
    <w:name w:val="footnote reference"/>
    <w:basedOn w:val="Domylnaczcionkaakapitu"/>
    <w:semiHidden/>
    <w:unhideWhenUsed/>
    <w:rsid w:val="003A35BB"/>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942041">
      <w:bodyDiv w:val="1"/>
      <w:marLeft w:val="0"/>
      <w:marRight w:val="0"/>
      <w:marTop w:val="0"/>
      <w:marBottom w:val="0"/>
      <w:divBdr>
        <w:top w:val="none" w:sz="0" w:space="0" w:color="auto"/>
        <w:left w:val="none" w:sz="0" w:space="0" w:color="auto"/>
        <w:bottom w:val="none" w:sz="0" w:space="0" w:color="auto"/>
        <w:right w:val="none" w:sz="0" w:space="0" w:color="auto"/>
      </w:divBdr>
    </w:div>
    <w:div w:id="525482122">
      <w:bodyDiv w:val="1"/>
      <w:marLeft w:val="0"/>
      <w:marRight w:val="0"/>
      <w:marTop w:val="0"/>
      <w:marBottom w:val="0"/>
      <w:divBdr>
        <w:top w:val="none" w:sz="0" w:space="0" w:color="auto"/>
        <w:left w:val="none" w:sz="0" w:space="0" w:color="auto"/>
        <w:bottom w:val="none" w:sz="0" w:space="0" w:color="auto"/>
        <w:right w:val="none" w:sz="0" w:space="0" w:color="auto"/>
      </w:divBdr>
    </w:div>
    <w:div w:id="665016415">
      <w:bodyDiv w:val="1"/>
      <w:marLeft w:val="0"/>
      <w:marRight w:val="0"/>
      <w:marTop w:val="0"/>
      <w:marBottom w:val="0"/>
      <w:divBdr>
        <w:top w:val="none" w:sz="0" w:space="0" w:color="auto"/>
        <w:left w:val="none" w:sz="0" w:space="0" w:color="auto"/>
        <w:bottom w:val="none" w:sz="0" w:space="0" w:color="auto"/>
        <w:right w:val="none" w:sz="0" w:space="0" w:color="auto"/>
      </w:divBdr>
    </w:div>
    <w:div w:id="902180418">
      <w:bodyDiv w:val="1"/>
      <w:marLeft w:val="0"/>
      <w:marRight w:val="0"/>
      <w:marTop w:val="0"/>
      <w:marBottom w:val="0"/>
      <w:divBdr>
        <w:top w:val="none" w:sz="0" w:space="0" w:color="auto"/>
        <w:left w:val="none" w:sz="0" w:space="0" w:color="auto"/>
        <w:bottom w:val="none" w:sz="0" w:space="0" w:color="auto"/>
        <w:right w:val="none" w:sz="0" w:space="0" w:color="auto"/>
      </w:divBdr>
    </w:div>
    <w:div w:id="1188643712">
      <w:bodyDiv w:val="1"/>
      <w:marLeft w:val="0"/>
      <w:marRight w:val="0"/>
      <w:marTop w:val="0"/>
      <w:marBottom w:val="0"/>
      <w:divBdr>
        <w:top w:val="none" w:sz="0" w:space="0" w:color="auto"/>
        <w:left w:val="none" w:sz="0" w:space="0" w:color="auto"/>
        <w:bottom w:val="none" w:sz="0" w:space="0" w:color="auto"/>
        <w:right w:val="none" w:sz="0" w:space="0" w:color="auto"/>
      </w:divBdr>
    </w:div>
    <w:div w:id="1208568118">
      <w:bodyDiv w:val="1"/>
      <w:marLeft w:val="0"/>
      <w:marRight w:val="0"/>
      <w:marTop w:val="0"/>
      <w:marBottom w:val="0"/>
      <w:divBdr>
        <w:top w:val="none" w:sz="0" w:space="0" w:color="auto"/>
        <w:left w:val="none" w:sz="0" w:space="0" w:color="auto"/>
        <w:bottom w:val="none" w:sz="0" w:space="0" w:color="auto"/>
        <w:right w:val="none" w:sz="0" w:space="0" w:color="auto"/>
      </w:divBdr>
    </w:div>
    <w:div w:id="1345746364">
      <w:bodyDiv w:val="1"/>
      <w:marLeft w:val="0"/>
      <w:marRight w:val="0"/>
      <w:marTop w:val="0"/>
      <w:marBottom w:val="0"/>
      <w:divBdr>
        <w:top w:val="none" w:sz="0" w:space="0" w:color="auto"/>
        <w:left w:val="none" w:sz="0" w:space="0" w:color="auto"/>
        <w:bottom w:val="none" w:sz="0" w:space="0" w:color="auto"/>
        <w:right w:val="none" w:sz="0" w:space="0" w:color="auto"/>
      </w:divBdr>
    </w:div>
    <w:div w:id="138544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10</Pages>
  <Words>1976</Words>
  <Characters>12909</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Ragan</dc:creator>
  <cp:keywords/>
  <dc:description/>
  <cp:lastModifiedBy>Maciej Ragan</cp:lastModifiedBy>
  <cp:revision>24</cp:revision>
  <cp:lastPrinted>2020-10-12T13:39:00Z</cp:lastPrinted>
  <dcterms:created xsi:type="dcterms:W3CDTF">2016-01-19T13:24:00Z</dcterms:created>
  <dcterms:modified xsi:type="dcterms:W3CDTF">2020-10-19T09:49:00Z</dcterms:modified>
</cp:coreProperties>
</file>